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R1-2307766</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August 21st – August 25th, 2023</w:t>
      </w:r>
    </w:p>
    <w:p>
      <w:pPr>
        <w:pStyle w:val="2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eastAsia="宋体" w:cs="Times New Roman"/>
          <w:i w:val="0"/>
          <w:iCs w:val="0"/>
          <w:caps w:val="0"/>
          <w:color w:val="auto"/>
          <w:spacing w:val="0"/>
          <w:sz w:val="24"/>
          <w:szCs w:val="24"/>
          <w:shd w:val="clear" w:fill="auto"/>
          <w:lang w:val="en-US" w:eastAsia="zh-CN"/>
        </w:rPr>
        <w:t>Discussion on Enhancement o</w:t>
      </w:r>
      <w:r>
        <w:rPr>
          <w:rFonts w:hint="eastAsia" w:ascii="Times New Roman" w:hAnsi="Times New Roman" w:cs="Times New Roman"/>
          <w:i w:val="0"/>
          <w:iCs w:val="0"/>
          <w:caps w:val="0"/>
          <w:color w:val="auto"/>
          <w:spacing w:val="0"/>
          <w:sz w:val="24"/>
          <w:szCs w:val="24"/>
          <w:shd w:val="clear" w:fill="auto"/>
          <w:lang w:val="en-US" w:eastAsia="zh-CN"/>
        </w:rPr>
        <w:t>n</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 </w:t>
      </w:r>
      <w:r>
        <w:rPr>
          <w:rFonts w:hint="eastAsia" w:ascii="Times New Roman" w:hAnsi="Times New Roman" w:cs="Times New Roman"/>
          <w:i w:val="0"/>
          <w:iCs w:val="0"/>
          <w:caps w:val="0"/>
          <w:color w:val="auto"/>
          <w:spacing w:val="0"/>
          <w:sz w:val="24"/>
          <w:szCs w:val="24"/>
          <w:shd w:val="clear" w:fill="auto"/>
          <w:lang w:val="en-US" w:eastAsia="zh-CN"/>
        </w:rPr>
        <w:t>c</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ell DTX/DRX </w:t>
      </w:r>
      <w:r>
        <w:rPr>
          <w:rFonts w:hint="eastAsia" w:ascii="Times New Roman" w:hAnsi="Times New Roman" w:cs="Times New Roman"/>
          <w:i w:val="0"/>
          <w:iCs w:val="0"/>
          <w:caps w:val="0"/>
          <w:color w:val="auto"/>
          <w:spacing w:val="0"/>
          <w:sz w:val="24"/>
          <w:szCs w:val="24"/>
          <w:shd w:val="clear" w:fill="auto"/>
          <w:lang w:val="en-US" w:eastAsia="zh-CN"/>
        </w:rPr>
        <w:t>m</w:t>
      </w:r>
      <w:r>
        <w:rPr>
          <w:rFonts w:hint="eastAsia" w:ascii="Times New Roman" w:hAnsi="Times New Roman" w:eastAsia="宋体" w:cs="Times New Roman"/>
          <w:i w:val="0"/>
          <w:iCs w:val="0"/>
          <w:caps w:val="0"/>
          <w:color w:val="auto"/>
          <w:spacing w:val="0"/>
          <w:sz w:val="24"/>
          <w:szCs w:val="24"/>
          <w:shd w:val="clear" w:fill="auto"/>
          <w:lang w:val="en-US" w:eastAsia="zh-CN"/>
        </w:rPr>
        <w:t>echanism</w:t>
      </w:r>
    </w:p>
    <w:p>
      <w:pPr>
        <w:pStyle w:val="22"/>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2</w:t>
      </w:r>
      <w:bookmarkStart w:id="5" w:name="_GoBack"/>
      <w:bookmarkEnd w:id="5"/>
    </w:p>
    <w:p>
      <w:pPr>
        <w:pStyle w:val="2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beforeLines="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113</w:t>
      </w:r>
      <w:r>
        <w:rPr>
          <w:rFonts w:hint="default" w:ascii="Times New Roman" w:hAnsi="Times New Roman" w:cs="Times New Roman"/>
          <w:sz w:val="20"/>
          <w:szCs w:val="20"/>
          <w:lang w:val="en-US" w:eastAsia="zh-CN"/>
        </w:rPr>
        <w:t xml:space="preserve"> meeting, the following agreements </w:t>
      </w:r>
      <w:r>
        <w:rPr>
          <w:rFonts w:hint="eastAsia" w:cs="Times New Roman"/>
          <w:sz w:val="20"/>
          <w:szCs w:val="20"/>
          <w:lang w:val="en-US" w:eastAsia="zh-CN"/>
        </w:rPr>
        <w:t xml:space="preserve">were </w:t>
      </w:r>
      <w:r>
        <w:rPr>
          <w:rFonts w:hint="default" w:ascii="Times New Roman" w:hAnsi="Times New Roman" w:cs="Times New Roman"/>
          <w:sz w:val="20"/>
          <w:szCs w:val="20"/>
          <w:lang w:val="en-US" w:eastAsia="zh-CN"/>
        </w:rPr>
        <w:t>reached</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textAlignment w:val="baseline"/>
              <w:rPr>
                <w:rFonts w:ascii="Times New Roman" w:hAnsi="Times New Roman"/>
                <w:highlight w:val="green"/>
              </w:rPr>
            </w:pPr>
            <w:r>
              <w:rPr>
                <w:rFonts w:ascii="Times New Roman" w:hAnsi="Times New Roman"/>
                <w:highlight w:val="green"/>
              </w:rPr>
              <w:t>Agreement</w:t>
            </w:r>
          </w:p>
          <w:p>
            <w:p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RAN1 supports the group common L1 signaling using PDCCH for cell DTX/DRX activation and deactivation without HARQ feedback</w:t>
            </w:r>
          </w:p>
          <w:p>
            <w:pPr>
              <w:pStyle w:val="23"/>
              <w:numPr>
                <w:ilvl w:val="0"/>
                <w:numId w:val="3"/>
              </w:numPr>
              <w:overflowPunct w:val="0"/>
              <w:autoSpaceDE w:val="0"/>
              <w:autoSpaceDN w:val="0"/>
              <w:adjustRightInd w:val="0"/>
              <w:textAlignment w:val="baseline"/>
              <w:rPr>
                <w:lang w:eastAsia="zh-CN"/>
              </w:rPr>
            </w:pPr>
            <w:r>
              <w:rPr>
                <w:lang w:eastAsia="zh-CN"/>
              </w:rPr>
              <w:t xml:space="preserve">Send an LS to RAN2 to consider the additional support of a MAC CE based indication </w:t>
            </w:r>
          </w:p>
          <w:p>
            <w:pPr>
              <w:pStyle w:val="23"/>
              <w:numPr>
                <w:ilvl w:val="0"/>
                <w:numId w:val="3"/>
              </w:numPr>
              <w:overflowPunct w:val="0"/>
              <w:autoSpaceDE w:val="0"/>
              <w:autoSpaceDN w:val="0"/>
              <w:adjustRightInd w:val="0"/>
              <w:textAlignment w:val="baseline"/>
              <w:rPr>
                <w:lang w:eastAsia="zh-CN"/>
              </w:rPr>
            </w:pPr>
            <w:r>
              <w:rPr>
                <w:lang w:eastAsia="zh-CN"/>
              </w:rPr>
              <w:t>Subject to UE capability</w:t>
            </w:r>
          </w:p>
          <w:p>
            <w:pPr>
              <w:overflowPunct w:val="0"/>
              <w:autoSpaceDE w:val="0"/>
              <w:autoSpaceDN w:val="0"/>
              <w:adjustRightInd w:val="0"/>
              <w:textAlignment w:val="baseline"/>
              <w:rPr>
                <w:rFonts w:ascii="Times New Roman" w:hAnsi="Times New Roman"/>
              </w:rPr>
            </w:pPr>
          </w:p>
          <w:p>
            <w:pPr>
              <w:overflowPunct w:val="0"/>
              <w:autoSpaceDE w:val="0"/>
              <w:autoSpaceDN w:val="0"/>
              <w:adjustRightInd w:val="0"/>
              <w:textAlignment w:val="baseline"/>
              <w:rPr>
                <w:rFonts w:cs="Times"/>
                <w:highlight w:val="green"/>
                <w:lang w:eastAsia="zh-CN"/>
              </w:rPr>
            </w:pPr>
            <w:r>
              <w:rPr>
                <w:rFonts w:cs="Times"/>
                <w:highlight w:val="green"/>
                <w:lang w:eastAsia="zh-CN"/>
              </w:rPr>
              <w:t>Agreement</w:t>
            </w:r>
          </w:p>
          <w:p>
            <w:pPr>
              <w:overflowPunct w:val="0"/>
              <w:autoSpaceDE w:val="0"/>
              <w:autoSpaceDN w:val="0"/>
              <w:adjustRightInd w:val="0"/>
              <w:textAlignment w:val="baseline"/>
              <w:rPr>
                <w:lang w:eastAsia="zh-CN"/>
              </w:rPr>
            </w:pPr>
            <w:r>
              <w:rPr>
                <w:lang w:eastAsia="zh-CN"/>
              </w:rPr>
              <w:t>Confirmation of WA from previous meeting with removal of the two sub-bullets.</w:t>
            </w:r>
          </w:p>
          <w:p>
            <w:pPr>
              <w:overflowPunct w:val="0"/>
              <w:autoSpaceDE w:val="0"/>
              <w:autoSpaceDN w:val="0"/>
              <w:adjustRightInd w:val="0"/>
              <w:ind w:left="720"/>
              <w:textAlignment w:val="baseline"/>
              <w:rPr>
                <w:highlight w:val="darkYellow"/>
              </w:rPr>
            </w:pPr>
            <w:r>
              <w:rPr>
                <w:highlight w:val="darkYellow"/>
              </w:rPr>
              <w:t>Working Assumption</w:t>
            </w:r>
          </w:p>
          <w:p>
            <w:pPr>
              <w:numPr>
                <w:ilvl w:val="1"/>
                <w:numId w:val="4"/>
              </w:numPr>
              <w:suppressAutoHyphens/>
              <w:overflowPunct w:val="0"/>
              <w:autoSpaceDE w:val="0"/>
              <w:autoSpaceDN w:val="0"/>
              <w:adjustRightInd w:val="0"/>
              <w:spacing w:line="254" w:lineRule="auto"/>
              <w:jc w:val="both"/>
              <w:textAlignment w:val="baseline"/>
              <w:rPr>
                <w:rFonts w:ascii="Times New Roman" w:hAnsi="Times New Roman"/>
                <w:szCs w:val="20"/>
                <w:lang w:eastAsia="zh-CN"/>
              </w:rPr>
            </w:pPr>
            <w:r>
              <w:rPr>
                <w:rFonts w:ascii="Times New Roman" w:hAnsi="Times New Roman" w:eastAsia="Malgun Gothic"/>
                <w:szCs w:val="20"/>
                <w:lang w:eastAsia="ko-KR"/>
              </w:rPr>
              <w:t>Support of L1 signaling at least for activation/deactivation of a cell DTX and/or DRX configuration is feasible (e.g., in terms of enabling/disenabling the feature) from RAN1 perspective.</w:t>
            </w: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numPr>
                <w:ilvl w:val="0"/>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 xml:space="preserve">DCI format for </w:t>
            </w:r>
            <w:r>
              <w:rPr>
                <w:rFonts w:ascii="Times New Roman" w:hAnsi="Times New Roman"/>
                <w:szCs w:val="20"/>
                <w:lang w:eastAsia="zh-CN"/>
              </w:rPr>
              <w:t xml:space="preserve">group common L1 signaling using PDCCH for cell DTX/DRX activation and deactivation </w:t>
            </w:r>
            <w:r>
              <w:rPr>
                <w:rFonts w:ascii="Times New Roman" w:hAnsi="Times New Roman" w:eastAsia="Malgun Gothic"/>
                <w:szCs w:val="20"/>
                <w:lang w:eastAsia="ko-KR"/>
              </w:rPr>
              <w:t>(downselect just one among alternatives)</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Alt 1) DCI Format 2_6 (</w:t>
            </w:r>
            <w:r>
              <w:rPr>
                <w:rFonts w:ascii="Times New Roman" w:hAnsi="Times New Roman"/>
                <w:szCs w:val="20"/>
                <w:lang w:eastAsia="zh-CN"/>
              </w:rPr>
              <w:t>power saving information outside DRX Active Time)</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Monitoring within DRX active time</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highlight w:val="none"/>
                <w:lang w:eastAsia="ko-KR"/>
              </w:rPr>
            </w:pPr>
            <w:r>
              <w:rPr>
                <w:rFonts w:ascii="Times New Roman" w:hAnsi="Times New Roman" w:eastAsia="Malgun Gothic"/>
                <w:szCs w:val="20"/>
                <w:highlight w:val="none"/>
                <w:lang w:eastAsia="ko-KR"/>
              </w:rPr>
              <w:t>FFS: Field content</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Field content format</w:t>
            </w:r>
          </w:p>
          <w:p>
            <w:pPr>
              <w:numPr>
                <w:ilvl w:val="3"/>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Block number 1, block number 2, …, block number N</w:t>
            </w:r>
          </w:p>
          <w:p>
            <w:pPr>
              <w:numPr>
                <w:ilvl w:val="3"/>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For each block should at least support the following:</w:t>
            </w:r>
          </w:p>
          <w:p>
            <w:pPr>
              <w:numPr>
                <w:ilvl w:val="4"/>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DTX configuration activation/deactivation</w:t>
            </w:r>
          </w:p>
          <w:p>
            <w:pPr>
              <w:numPr>
                <w:ilvl w:val="4"/>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DRX configuration activation/deactivation</w:t>
            </w:r>
          </w:p>
          <w:p>
            <w:pPr>
              <w:numPr>
                <w:ilvl w:val="3"/>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other field details, mapping of UE and each blocks</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DCI size indicated by higher layers</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RNTI</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szCs w:val="20"/>
                <w:lang w:eastAsia="zh-CN"/>
              </w:rPr>
              <w:t>FFS: application delay, timers for activation/deactivation</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handling of multiple cells including when UE supports different number of cells</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details on PDCCH monitoring aspects, including but not limited to:</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Search Space</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PDCCH monitoring occasion</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slots to monitor (during cell DTX/DRX non-active periods, and active periods)</w:t>
            </w:r>
          </w:p>
          <w:p>
            <w:pPr>
              <w:numPr>
                <w:ilvl w:val="2"/>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BD/CE aspects</w:t>
            </w:r>
          </w:p>
          <w:p>
            <w:pPr>
              <w:numPr>
                <w:ilvl w:val="1"/>
                <w:numId w:val="5"/>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UE behavior upon reception of the group common PDCCH (during cell DTX/DRX non-active periods, and active periods), including fallback behavior (if any)</w:t>
            </w:r>
          </w:p>
          <w:p>
            <w:pPr>
              <w:overflowPunct w:val="0"/>
              <w:autoSpaceDE w:val="0"/>
              <w:autoSpaceDN w:val="0"/>
              <w:adjustRightInd w:val="0"/>
              <w:textAlignment w:val="baseline"/>
              <w:rPr>
                <w:rFonts w:ascii="Times New Roman" w:hAnsi="Times New Roman"/>
                <w:szCs w:val="20"/>
                <w:lang w:eastAsia="zh-CN"/>
              </w:rPr>
            </w:pPr>
          </w:p>
          <w:p>
            <w:pPr>
              <w:overflowPunct w:val="0"/>
              <w:autoSpaceDE w:val="0"/>
              <w:autoSpaceDN w:val="0"/>
              <w:adjustRightInd w:val="0"/>
              <w:textAlignment w:val="baseline"/>
              <w:rPr>
                <w:highlight w:val="green"/>
                <w:lang w:eastAsia="zh-CN"/>
              </w:rPr>
            </w:pPr>
            <w:r>
              <w:rPr>
                <w:highlight w:val="green"/>
                <w:lang w:eastAsia="zh-CN"/>
              </w:rPr>
              <w:t>Agreement</w:t>
            </w:r>
          </w:p>
          <w:p>
            <w:pPr>
              <w:overflowPunct w:val="0"/>
              <w:autoSpaceDE w:val="0"/>
              <w:autoSpaceDN w:val="0"/>
              <w:adjustRightInd w:val="0"/>
              <w:jc w:val="both"/>
              <w:textAlignment w:val="baseline"/>
              <w:rPr>
                <w:rFonts w:cs="Times"/>
                <w:szCs w:val="20"/>
                <w:lang w:eastAsia="zh-CN"/>
              </w:rPr>
            </w:pPr>
            <w:r>
              <w:rPr>
                <w:rFonts w:cs="Times"/>
                <w:szCs w:val="20"/>
                <w:lang w:eastAsia="zh-CN"/>
              </w:rPr>
              <w:t>For the group common L1 signaling using PDCCH for cell DTX/DRX activation and deactivation</w:t>
            </w:r>
          </w:p>
          <w:p>
            <w:pPr>
              <w:numPr>
                <w:ilvl w:val="0"/>
                <w:numId w:val="6"/>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DCI size budget is not increased</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Number of required BDs is not increased</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FFS: PDCCH monitoring configuration for the new DCI format is identical to PDCCH monitoring configuration for DCI format 2_6 if the UE monitors both DCI formats</w:t>
            </w:r>
          </w:p>
          <w:p>
            <w:pPr>
              <w:numPr>
                <w:ilvl w:val="2"/>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FFS: New RNTI is used</w:t>
            </w:r>
          </w:p>
          <w:p>
            <w:pPr>
              <w:numPr>
                <w:ilvl w:val="-1"/>
                <w:numId w:val="0"/>
              </w:numPr>
              <w:suppressAutoHyphens/>
              <w:overflowPunct w:val="0"/>
              <w:autoSpaceDE/>
              <w:autoSpaceDN/>
              <w:adjustRightInd/>
              <w:spacing w:after="0" w:afterLines="-2147483648"/>
              <w:ind w:left="360" w:firstLine="0"/>
              <w:jc w:val="left"/>
              <w:textAlignment w:val="auto"/>
              <w:rPr>
                <w:rFonts w:ascii="Times" w:hAnsi="Times" w:eastAsia="Batang" w:cs="Times"/>
                <w:lang w:eastAsia="zh-CN"/>
              </w:rPr>
            </w:pPr>
          </w:p>
          <w:p>
            <w:pPr>
              <w:overflowPunct w:val="0"/>
              <w:autoSpaceDE w:val="0"/>
              <w:autoSpaceDN w:val="0"/>
              <w:adjustRightInd w:val="0"/>
              <w:spacing w:before="0" w:after="0" w:line="360" w:lineRule="auto"/>
              <w:jc w:val="both"/>
              <w:textAlignment w:val="baseline"/>
              <w:rPr>
                <w:rFonts w:hint="eastAsia" w:ascii="Times New Roman" w:hAnsi="Times New Roman" w:cs="Times New Roman"/>
                <w:sz w:val="20"/>
                <w:szCs w:val="20"/>
                <w:vertAlign w:val="baseline"/>
                <w:lang w:val="en-US" w:eastAsia="zh-CN"/>
              </w:rPr>
            </w:pPr>
          </w:p>
        </w:tc>
      </w:tr>
    </w:tbl>
    <w:p>
      <w:pPr>
        <w:spacing w:before="0" w:beforeLines="0" w:after="0" w:afterLines="50" w:line="360" w:lineRule="auto"/>
        <w:jc w:val="both"/>
        <w:rPr>
          <w:rFonts w:hint="eastAsia" w:ascii="Times New Roman" w:hAnsi="Times New Roman" w:cs="Times New Roman"/>
          <w:sz w:val="20"/>
          <w:szCs w:val="20"/>
          <w:lang w:val="en-US" w:eastAsia="zh-CN"/>
        </w:rPr>
      </w:pPr>
      <w:r>
        <w:rPr>
          <w:rFonts w:hint="eastAsia" w:cs="Times New Roman"/>
          <w:sz w:val="20"/>
          <w:szCs w:val="20"/>
          <w:lang w:val="en-US" w:eastAsia="zh-CN"/>
        </w:rPr>
        <w:t>I</w:t>
      </w:r>
      <w:r>
        <w:rPr>
          <w:rFonts w:hint="eastAsia" w:ascii="Times New Roman" w:hAnsi="Times New Roman" w:cs="Times New Roman"/>
          <w:sz w:val="20"/>
          <w:szCs w:val="20"/>
          <w:lang w:val="en-US" w:eastAsia="zh-CN"/>
        </w:rPr>
        <w:t xml:space="preserve">n this contribution, </w:t>
      </w:r>
      <w:r>
        <w:rPr>
          <w:rFonts w:hint="eastAsia" w:cs="Times New Roman"/>
          <w:sz w:val="20"/>
          <w:szCs w:val="20"/>
          <w:lang w:val="en-US" w:eastAsia="zh-CN"/>
        </w:rPr>
        <w:t xml:space="preserve">the </w:t>
      </w:r>
      <w:r>
        <w:rPr>
          <w:rFonts w:hint="eastAsia" w:ascii="Times New Roman" w:hAnsi="Times New Roman" w:cs="Times New Roman"/>
          <w:sz w:val="20"/>
          <w:szCs w:val="20"/>
          <w:lang w:val="en-US" w:eastAsia="zh-CN"/>
        </w:rPr>
        <w:t>enhancement on cell DTX/DRX mechanism</w:t>
      </w:r>
      <w:r>
        <w:rPr>
          <w:rFonts w:hint="eastAsia" w:cs="Times New Roman"/>
          <w:sz w:val="20"/>
          <w:szCs w:val="20"/>
          <w:lang w:val="en-US" w:eastAsia="zh-CN"/>
        </w:rPr>
        <w:t xml:space="preserve"> will continue to be</w:t>
      </w:r>
      <w:r>
        <w:rPr>
          <w:rFonts w:hint="eastAsia"/>
          <w:sz w:val="20"/>
          <w:szCs w:val="20"/>
          <w:lang w:val="en-US" w:eastAsia="zh-CN" w:bidi="ar"/>
        </w:rPr>
        <w:t xml:space="preserv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Enhancement on cell DTX/DRX mechanism</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Signals/Channels impacted by cell DTX/DRX</w:t>
      </w:r>
    </w:p>
    <w:p>
      <w:pPr>
        <w:spacing w:before="0" w:beforeLines="0" w:after="0" w:afterLines="50" w:line="360" w:lineRule="auto"/>
        <w:jc w:val="both"/>
        <w:rPr>
          <w:rFonts w:hint="eastAsia"/>
          <w:lang w:val="en-US" w:eastAsia="zh-CN"/>
        </w:rPr>
      </w:pPr>
      <w:r>
        <w:rPr>
          <w:rFonts w:hint="eastAsia"/>
          <w:lang w:val="en-US" w:eastAsia="zh-CN"/>
        </w:rPr>
        <w:t xml:space="preserve">According to WID [2] in RAN#99 meeting, the impact of cell DTX/DRX enhancement on RRC IDLE/INACTIVE should be avoided, so the enhancements on cell DTX/DRX </w:t>
      </w:r>
      <w:r>
        <w:rPr>
          <w:rFonts w:hint="eastAsia" w:ascii="Times New Roman" w:hAnsi="Times New Roman" w:cs="Times New Roman"/>
          <w:sz w:val="20"/>
          <w:szCs w:val="20"/>
          <w:lang w:val="en-US" w:eastAsia="zh-CN"/>
        </w:rPr>
        <w:t>mechanism</w:t>
      </w:r>
      <w:r>
        <w:rPr>
          <w:rFonts w:hint="eastAsia" w:cs="Times New Roman"/>
          <w:sz w:val="20"/>
          <w:szCs w:val="20"/>
          <w:lang w:val="en-US" w:eastAsia="zh-CN"/>
        </w:rPr>
        <w:t xml:space="preserve"> </w:t>
      </w:r>
      <w:r>
        <w:rPr>
          <w:rFonts w:hint="eastAsia"/>
          <w:lang w:val="en-US" w:eastAsia="zh-CN"/>
        </w:rPr>
        <w:t>can first focus on RRC CONNECTED. However, for RRC_CONNECTED, the current specification only defines a UE C-DRX mechanism which meets the UE dynamic scheduling requirements and UE power saving, but does not define the cell DTX/DRX mechanism that meets network energy saving requirements. Therefore, it is necessary to specify a cell DTX/DRX mechanism in the RRC CONNECTED state.</w:t>
      </w:r>
    </w:p>
    <w:p>
      <w:pPr>
        <w:spacing w:before="0" w:beforeLines="0" w:after="0" w:afterLines="50" w:line="360" w:lineRule="auto"/>
        <w:jc w:val="both"/>
        <w:rPr>
          <w:rFonts w:hint="eastAsia"/>
          <w:lang w:val="en-US" w:eastAsia="zh-CN"/>
        </w:rPr>
      </w:pPr>
      <w:r>
        <w:rPr>
          <w:rFonts w:hint="eastAsia"/>
          <w:lang w:val="en-US" w:eastAsia="zh-CN"/>
        </w:rPr>
        <w:t>As discussed in previous meeting, before determining the cell DTX/DRX mechanism, we should first identify the signals/channels which may be expected to not transmit or receive during non-active periods of cell DTX/DRX. Regarding the signal/channel behavior during non-active periods of cell DTX/DRX, RAN2 has reached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60" w:beforeLines="0" w:after="60" w:afterLines="0" w:line="360" w:lineRule="auto"/>
              <w:jc w:val="both"/>
              <w:textAlignment w:val="baseline"/>
              <w:rPr>
                <w:rFonts w:hint="eastAsia"/>
                <w:vertAlign w:val="baseline"/>
                <w:lang w:val="en-US" w:eastAsia="zh-CN"/>
              </w:rPr>
            </w:pPr>
            <w:r>
              <w:rPr>
                <w:rFonts w:hint="eastAsia"/>
                <w:vertAlign w:val="baseline"/>
                <w:lang w:val="en-US" w:eastAsia="zh-CN"/>
              </w:rPr>
              <w:t>RAN2#121bis</w:t>
            </w:r>
          </w:p>
          <w:p>
            <w:pPr>
              <w:overflowPunct w:val="0"/>
              <w:autoSpaceDE w:val="0"/>
              <w:autoSpaceDN w:val="0"/>
              <w:adjustRightInd w:val="0"/>
              <w:textAlignment w:val="baseline"/>
              <w:rPr>
                <w:vertAlign w:val="baseline"/>
                <w:lang w:val="en-US" w:eastAsia="zh-CN"/>
              </w:rPr>
            </w:pPr>
            <w:r>
              <w:rPr>
                <w:vertAlign w:val="baseline"/>
                <w:lang w:val="en-US" w:eastAsia="zh-CN"/>
              </w:rPr>
              <w:t>Agreements</w:t>
            </w:r>
          </w:p>
          <w:p>
            <w:pPr>
              <w:numPr>
                <w:ilvl w:val="0"/>
                <w:numId w:val="7"/>
              </w:numPr>
              <w:overflowPunct w:val="0"/>
              <w:autoSpaceDE w:val="0"/>
              <w:autoSpaceDN w:val="0"/>
              <w:adjustRightInd w:val="0"/>
              <w:ind w:left="425" w:leftChars="0" w:hanging="425" w:firstLineChars="0"/>
              <w:textAlignment w:val="baseline"/>
              <w:rPr>
                <w:vertAlign w:val="baseline"/>
                <w:lang w:val="en-US" w:eastAsia="zh-CN"/>
              </w:rPr>
            </w:pPr>
            <w:r>
              <w:rPr>
                <w:vertAlign w:val="baseline"/>
                <w:lang w:val="en-US" w:eastAsia="zh-CN"/>
              </w:rPr>
              <w:t>As baseline,</w:t>
            </w:r>
            <w:r>
              <w:rPr>
                <w:b/>
                <w:bCs/>
                <w:vertAlign w:val="baseline"/>
                <w:lang w:val="en-US" w:eastAsia="zh-CN"/>
              </w:rPr>
              <w:t xml:space="preserve"> </w:t>
            </w:r>
            <w:r>
              <w:rPr>
                <w:b w:val="0"/>
                <w:bCs w:val="0"/>
                <w:vertAlign w:val="baseline"/>
                <w:lang w:val="en-US" w:eastAsia="zh-CN"/>
              </w:rPr>
              <w:t>UE doesn’t monitor SPS occasions during Cell DTX non-active period. As baseline, gNB is assumed to be not transmitting PDSCH to that UE on such SPS occasions during the Cell DTX non-active period</w:t>
            </w:r>
          </w:p>
          <w:p>
            <w:pPr>
              <w:numPr>
                <w:ilvl w:val="0"/>
                <w:numId w:val="7"/>
              </w:numPr>
              <w:overflowPunct w:val="0"/>
              <w:autoSpaceDE w:val="0"/>
              <w:autoSpaceDN w:val="0"/>
              <w:adjustRightInd w:val="0"/>
              <w:ind w:left="425" w:leftChars="0" w:hanging="425" w:firstLineChars="0"/>
              <w:textAlignment w:val="baseline"/>
              <w:rPr>
                <w:vertAlign w:val="baseline"/>
                <w:lang w:val="en-US" w:eastAsia="zh-CN"/>
              </w:rPr>
            </w:pPr>
            <w:r>
              <w:rPr>
                <w:vertAlign w:val="baseline"/>
                <w:lang w:val="en-US" w:eastAsia="zh-CN"/>
              </w:rPr>
              <w:t>As baseline, UE does not transmit on CG occasions during Cell DRX non-active periods</w:t>
            </w:r>
          </w:p>
          <w:p>
            <w:pPr>
              <w:numPr>
                <w:ilvl w:val="0"/>
                <w:numId w:val="7"/>
              </w:numPr>
              <w:overflowPunct w:val="0"/>
              <w:autoSpaceDE w:val="0"/>
              <w:autoSpaceDN w:val="0"/>
              <w:adjustRightInd w:val="0"/>
              <w:ind w:left="425" w:leftChars="0" w:hanging="425" w:firstLineChars="0"/>
              <w:textAlignment w:val="baseline"/>
              <w:rPr>
                <w:vertAlign w:val="baseline"/>
                <w:lang w:val="en-US" w:eastAsia="zh-CN"/>
              </w:rPr>
            </w:pPr>
            <w:r>
              <w:rPr>
                <w:vertAlign w:val="baseline"/>
                <w:lang w:val="en-US" w:eastAsia="zh-CN"/>
              </w:rPr>
              <w:t xml:space="preserve">As baseline, UE does not transmit SR occasions overlapping with Cell DRX non-active periods, e.g. SR transmissions are dropped during the non-active period </w:t>
            </w:r>
          </w:p>
          <w:p>
            <w:pPr>
              <w:numPr>
                <w:ilvl w:val="0"/>
                <w:numId w:val="0"/>
              </w:numPr>
              <w:overflowPunct w:val="0"/>
              <w:autoSpaceDE w:val="0"/>
              <w:autoSpaceDN w:val="0"/>
              <w:adjustRightInd w:val="0"/>
              <w:ind w:leftChars="0"/>
              <w:textAlignment w:val="baseline"/>
              <w:rPr>
                <w:vertAlign w:val="baseline"/>
                <w:lang w:val="en-US" w:eastAsia="zh-CN"/>
              </w:rPr>
            </w:pPr>
            <w:r>
              <w:rPr>
                <w:vertAlign w:val="baseline"/>
                <w:lang w:val="en-US" w:eastAsia="zh-CN"/>
              </w:rPr>
              <w:t xml:space="preserve">FFS: whether we will allow to configure the UE per SR configuration with whether SR can be transmitted during Cell DRX non-active period to to support high priority traffic </w:t>
            </w:r>
          </w:p>
          <w:p>
            <w:pPr>
              <w:numPr>
                <w:ilvl w:val="0"/>
                <w:numId w:val="7"/>
              </w:numPr>
              <w:overflowPunct w:val="0"/>
              <w:autoSpaceDE w:val="0"/>
              <w:autoSpaceDN w:val="0"/>
              <w:adjustRightInd w:val="0"/>
              <w:ind w:left="425" w:leftChars="0" w:hanging="425" w:firstLineChars="0"/>
              <w:textAlignment w:val="baseline"/>
              <w:rPr>
                <w:vertAlign w:val="baseline"/>
                <w:lang w:val="en-US" w:eastAsia="zh-CN"/>
              </w:rPr>
            </w:pPr>
            <w:r>
              <w:rPr>
                <w:vertAlign w:val="baseline"/>
                <w:lang w:val="en-US" w:eastAsia="zh-CN"/>
              </w:rPr>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pPr>
              <w:numPr>
                <w:ilvl w:val="0"/>
                <w:numId w:val="7"/>
              </w:numPr>
              <w:overflowPunct w:val="0"/>
              <w:autoSpaceDE w:val="0"/>
              <w:autoSpaceDN w:val="0"/>
              <w:adjustRightInd w:val="0"/>
              <w:ind w:left="425" w:leftChars="0" w:hanging="425" w:firstLineChars="0"/>
              <w:textAlignment w:val="baseline"/>
              <w:rPr>
                <w:vertAlign w:val="baseline"/>
                <w:lang w:val="en-US" w:eastAsia="zh-CN"/>
              </w:rPr>
            </w:pPr>
            <w:r>
              <w:rPr>
                <w:vertAlign w:val="baseline"/>
                <w:lang w:val="en-US" w:eastAsia="zh-CN"/>
              </w:rPr>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pPr>
              <w:numPr>
                <w:ilvl w:val="0"/>
                <w:numId w:val="0"/>
              </w:numPr>
              <w:overflowPunct w:val="0"/>
              <w:autoSpaceDE w:val="0"/>
              <w:autoSpaceDN w:val="0"/>
              <w:adjustRightInd w:val="0"/>
              <w:ind w:leftChars="0"/>
              <w:textAlignment w:val="baseline"/>
              <w:rPr>
                <w:vertAlign w:val="baseline"/>
                <w:lang w:val="en-US" w:eastAsia="zh-CN"/>
              </w:rPr>
            </w:pPr>
            <w:r>
              <w:rPr>
                <w:vertAlign w:val="baseline"/>
                <w:lang w:val="en-US" w:eastAsia="zh-CN"/>
              </w:rPr>
              <w:t>FFS how to deal with retransmissions</w:t>
            </w:r>
          </w:p>
          <w:p>
            <w:pPr>
              <w:overflowPunct w:val="0"/>
              <w:autoSpaceDE w:val="0"/>
              <w:autoSpaceDN w:val="0"/>
              <w:adjustRightInd w:val="0"/>
              <w:spacing w:before="60" w:beforeLines="0" w:after="60" w:afterLines="0" w:line="360" w:lineRule="auto"/>
              <w:jc w:val="both"/>
              <w:textAlignment w:val="baseline"/>
              <w:rPr>
                <w:rFonts w:hint="eastAsia"/>
                <w:vertAlign w:val="baseline"/>
                <w:lang w:val="en-US" w:eastAsia="zh-CN"/>
              </w:rPr>
            </w:pPr>
            <w:r>
              <w:rPr>
                <w:rFonts w:hint="eastAsia"/>
                <w:vertAlign w:val="baseline"/>
                <w:lang w:val="en-US" w:eastAsia="zh-CN"/>
              </w:rPr>
              <w:t>RAN2#122</w:t>
            </w:r>
          </w:p>
          <w:p>
            <w:pPr>
              <w:overflowPunct w:val="0"/>
              <w:autoSpaceDE w:val="0"/>
              <w:autoSpaceDN w:val="0"/>
              <w:adjustRightInd w:val="0"/>
              <w:textAlignment w:val="baseline"/>
              <w:rPr>
                <w:vertAlign w:val="baseline"/>
                <w:lang w:val="en-US" w:eastAsia="zh-CN"/>
              </w:rPr>
            </w:pPr>
            <w:r>
              <w:rPr>
                <w:vertAlign w:val="baseline"/>
                <w:lang w:val="en-US" w:eastAsia="zh-CN"/>
              </w:rPr>
              <w:t>Agreements:</w:t>
            </w:r>
          </w:p>
          <w:p>
            <w:pPr>
              <w:overflowPunct w:val="0"/>
              <w:autoSpaceDE w:val="0"/>
              <w:autoSpaceDN w:val="0"/>
              <w:adjustRightInd w:val="0"/>
              <w:textAlignment w:val="baseline"/>
              <w:rPr>
                <w:vertAlign w:val="baseline"/>
                <w:lang w:val="en-US" w:eastAsia="zh-CN"/>
              </w:rPr>
            </w:pPr>
            <w:r>
              <w:rPr>
                <w:vertAlign w:val="baseline"/>
                <w:lang w:val="en-US" w:eastAsia="zh-CN"/>
              </w:rPr>
              <w:t>1</w:t>
            </w:r>
            <w:r>
              <w:rPr>
                <w:vertAlign w:val="baseline"/>
                <w:lang w:val="en-US" w:eastAsia="zh-CN"/>
              </w:rPr>
              <w:tab/>
            </w:r>
            <w:r>
              <w:rPr>
                <w:vertAlign w:val="baseline"/>
                <w:lang w:val="en-US" w:eastAsia="zh-CN"/>
              </w:rPr>
              <w:t>UE monitors PDCCH for RAR during Cell DTX non-active time. The ra-ResponseWindow could be started as legacy.</w:t>
            </w:r>
          </w:p>
          <w:p>
            <w:pPr>
              <w:overflowPunct w:val="0"/>
              <w:autoSpaceDE w:val="0"/>
              <w:autoSpaceDN w:val="0"/>
              <w:adjustRightInd w:val="0"/>
              <w:textAlignment w:val="baseline"/>
              <w:rPr>
                <w:vertAlign w:val="baseline"/>
                <w:lang w:val="en-US" w:eastAsia="zh-CN"/>
              </w:rPr>
            </w:pPr>
            <w:r>
              <w:rPr>
                <w:vertAlign w:val="baseline"/>
                <w:lang w:val="en-US" w:eastAsia="zh-CN"/>
              </w:rPr>
              <w:t>2</w:t>
            </w:r>
            <w:r>
              <w:rPr>
                <w:vertAlign w:val="baseline"/>
                <w:lang w:val="en-US" w:eastAsia="zh-CN"/>
              </w:rPr>
              <w:tab/>
            </w:r>
            <w:r>
              <w:rPr>
                <w:vertAlign w:val="baseline"/>
                <w:lang w:val="en-US" w:eastAsia="zh-CN"/>
              </w:rPr>
              <w:t>UE monitors PDCCH for msg4 during Cell DTX non-active time. The ra-ContentionResolutionTimer could be started as legacy.</w:t>
            </w:r>
          </w:p>
          <w:p>
            <w:pPr>
              <w:overflowPunct w:val="0"/>
              <w:autoSpaceDE w:val="0"/>
              <w:autoSpaceDN w:val="0"/>
              <w:adjustRightInd w:val="0"/>
              <w:textAlignment w:val="baseline"/>
              <w:rPr>
                <w:vertAlign w:val="baseline"/>
                <w:lang w:val="en-US" w:eastAsia="zh-CN"/>
              </w:rPr>
            </w:pPr>
            <w:r>
              <w:rPr>
                <w:vertAlign w:val="baseline"/>
                <w:lang w:val="en-US" w:eastAsia="zh-CN"/>
              </w:rPr>
              <w:t>3</w:t>
            </w:r>
            <w:r>
              <w:rPr>
                <w:vertAlign w:val="baseline"/>
                <w:lang w:val="en-US" w:eastAsia="zh-CN"/>
              </w:rPr>
              <w:tab/>
            </w:r>
            <w:r>
              <w:rPr>
                <w:vertAlign w:val="baseline"/>
                <w:lang w:val="en-US" w:eastAsia="zh-CN"/>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pPr>
              <w:overflowPunct w:val="0"/>
              <w:autoSpaceDE w:val="0"/>
              <w:autoSpaceDN w:val="0"/>
              <w:adjustRightInd w:val="0"/>
              <w:textAlignment w:val="baseline"/>
              <w:rPr>
                <w:vertAlign w:val="baseline"/>
                <w:lang w:val="en-US" w:eastAsia="zh-CN"/>
              </w:rPr>
            </w:pPr>
            <w:r>
              <w:rPr>
                <w:vertAlign w:val="baseline"/>
                <w:lang w:val="en-US" w:eastAsia="zh-CN"/>
              </w:rPr>
              <w:t>4</w:t>
            </w:r>
            <w:r>
              <w:rPr>
                <w:vertAlign w:val="baseline"/>
                <w:lang w:val="en-US" w:eastAsia="zh-CN"/>
              </w:rPr>
              <w:tab/>
            </w:r>
            <w:r>
              <w:rPr>
                <w:vertAlign w:val="baseline"/>
                <w:lang w:val="en-US" w:eastAsia="zh-CN"/>
              </w:rPr>
              <w:t>Once gNB recognizes there is an emergency call or public safety related service (e.g. MPS/MCS), the NW should ensure there is no impact to the emergency call (e.g. may deactivate Cell DTX/DRX).  The behavior is captured in stage 2 spec</w:t>
            </w:r>
          </w:p>
          <w:p>
            <w:pPr>
              <w:overflowPunct w:val="0"/>
              <w:autoSpaceDE w:val="0"/>
              <w:autoSpaceDN w:val="0"/>
              <w:adjustRightInd w:val="0"/>
              <w:textAlignment w:val="baseline"/>
              <w:rPr>
                <w:vertAlign w:val="baseline"/>
                <w:lang w:val="en-US" w:eastAsia="zh-CN"/>
              </w:rPr>
            </w:pPr>
            <w:r>
              <w:rPr>
                <w:vertAlign w:val="baseline"/>
                <w:lang w:val="en-US" w:eastAsia="zh-CN"/>
              </w:rPr>
              <w:t>5</w:t>
            </w:r>
            <w:r>
              <w:rPr>
                <w:vertAlign w:val="baseline"/>
                <w:lang w:val="en-US" w:eastAsia="zh-CN"/>
              </w:rPr>
              <w:tab/>
            </w:r>
            <w:r>
              <w:rPr>
                <w:vertAlign w:val="baseline"/>
                <w:lang w:val="en-US" w:eastAsia="zh-CN"/>
              </w:rPr>
              <w:t xml:space="preserve">When an DG grant is received, by the gNB during cell DRX/DTX, the UE follows the grant assignment (i.e. like in legacy).  This includes DL HARQ feedback.  </w:t>
            </w:r>
          </w:p>
          <w:p>
            <w:pPr>
              <w:overflowPunct w:val="0"/>
              <w:autoSpaceDE w:val="0"/>
              <w:autoSpaceDN w:val="0"/>
              <w:adjustRightInd w:val="0"/>
              <w:spacing w:before="60" w:beforeLines="0" w:after="60" w:afterLines="0" w:line="360" w:lineRule="auto"/>
              <w:jc w:val="both"/>
              <w:textAlignment w:val="baseline"/>
              <w:rPr>
                <w:rFonts w:hint="default"/>
                <w:vertAlign w:val="baseline"/>
                <w:lang w:val="en-US" w:eastAsia="zh-CN"/>
              </w:rPr>
            </w:pPr>
          </w:p>
        </w:tc>
      </w:tr>
    </w:tbl>
    <w:p>
      <w:pPr>
        <w:spacing w:before="0" w:beforeLines="0" w:after="0" w:afterLines="50" w:line="360" w:lineRule="auto"/>
        <w:jc w:val="both"/>
        <w:rPr>
          <w:rFonts w:hint="eastAsia"/>
          <w:lang w:val="en-US" w:eastAsia="zh-CN"/>
        </w:rPr>
      </w:pPr>
      <w:r>
        <w:rPr>
          <w:rFonts w:hint="eastAsia"/>
          <w:lang w:val="en-US" w:eastAsia="zh-CN"/>
        </w:rPr>
        <w:t xml:space="preserve">In addition to the above channels/signals, it is also necessary to discuss whether to transmit or receive CSI-RS during non-active periods of cell DTX/DRX. These CSI-RS mainly refer to CSI-RS used for RRM, RLM or beam </w:t>
      </w:r>
      <w:r>
        <w:rPr>
          <w:rFonts w:ascii="Times New Roman" w:hAnsi="Times New Roman" w:eastAsia="宋体"/>
          <w:szCs w:val="20"/>
          <w:lang w:eastAsia="ko-KR"/>
        </w:rPr>
        <w:t>failure</w:t>
      </w:r>
      <w:r>
        <w:rPr>
          <w:rFonts w:hint="eastAsia"/>
          <w:szCs w:val="20"/>
          <w:lang w:val="en-US" w:eastAsia="zh-CN"/>
        </w:rPr>
        <w:t xml:space="preserve"> </w:t>
      </w:r>
      <w:r>
        <w:rPr>
          <w:rFonts w:hint="eastAsia"/>
          <w:lang w:val="en-US" w:eastAsia="zh-CN"/>
        </w:rPr>
        <w:t>detection.</w:t>
      </w:r>
    </w:p>
    <w:p>
      <w:pPr>
        <w:spacing w:before="0" w:beforeLines="0" w:after="0" w:afterLines="50" w:line="360" w:lineRule="auto"/>
        <w:jc w:val="both"/>
        <w:rPr>
          <w:rFonts w:hint="default" w:cs="Times"/>
          <w:szCs w:val="20"/>
          <w:lang w:val="en-US" w:eastAsia="zh-CN"/>
        </w:rPr>
      </w:pPr>
      <w:r>
        <w:rPr>
          <w:rFonts w:hint="eastAsia" w:cs="Times"/>
          <w:szCs w:val="20"/>
          <w:lang w:val="en-US" w:eastAsia="zh-CN"/>
        </w:rPr>
        <w:t xml:space="preserve">According to current specification, </w:t>
      </w:r>
      <w:r>
        <w:rPr>
          <w:rFonts w:hint="default" w:cs="Times"/>
          <w:szCs w:val="20"/>
          <w:lang w:val="en-US" w:eastAsia="zh-CN"/>
        </w:rPr>
        <w:t>RRM, RLM and beam failure detection can be measured</w:t>
      </w:r>
      <w:r>
        <w:rPr>
          <w:rFonts w:hint="eastAsia" w:cs="Times"/>
          <w:szCs w:val="20"/>
          <w:lang w:val="en-US" w:eastAsia="zh-CN"/>
        </w:rPr>
        <w:t xml:space="preserve"> not only by CSI-RS but also by</w:t>
      </w:r>
      <w:r>
        <w:rPr>
          <w:rFonts w:hint="default" w:cs="Times"/>
          <w:szCs w:val="20"/>
          <w:lang w:val="en-US" w:eastAsia="zh-CN"/>
        </w:rPr>
        <w:t xml:space="preserve"> SSB</w:t>
      </w:r>
      <w:r>
        <w:rPr>
          <w:rFonts w:hint="eastAsia" w:cs="Times"/>
          <w:szCs w:val="20"/>
          <w:lang w:val="en-US" w:eastAsia="zh-CN"/>
        </w:rPr>
        <w:t xml:space="preserve">. In addition, according to the WID, </w:t>
      </w:r>
      <w:r>
        <w:rPr>
          <w:rFonts w:hint="default" w:cs="Times"/>
          <w:szCs w:val="20"/>
          <w:lang w:val="en-US" w:eastAsia="zh-CN"/>
        </w:rPr>
        <w:t>the cell DTX</w:t>
      </w:r>
      <w:r>
        <w:rPr>
          <w:rFonts w:hint="eastAsia" w:cs="Times"/>
          <w:szCs w:val="20"/>
          <w:lang w:val="en-US" w:eastAsia="zh-CN"/>
        </w:rPr>
        <w:t xml:space="preserve"> </w:t>
      </w:r>
      <w:r>
        <w:rPr>
          <w:rFonts w:hint="default" w:cs="Times"/>
          <w:szCs w:val="20"/>
          <w:lang w:val="en-US" w:eastAsia="zh-CN"/>
        </w:rPr>
        <w:t>will not affect the transmission of SSB</w:t>
      </w:r>
      <w:r>
        <w:rPr>
          <w:rFonts w:hint="eastAsia" w:cs="Times"/>
          <w:szCs w:val="20"/>
          <w:lang w:val="en-US" w:eastAsia="zh-CN"/>
        </w:rPr>
        <w:t>. Therefore,</w:t>
      </w:r>
      <w:r>
        <w:rPr>
          <w:rFonts w:hint="default" w:cs="Times"/>
          <w:szCs w:val="20"/>
          <w:lang w:val="en-US" w:eastAsia="zh-CN"/>
        </w:rPr>
        <w:t xml:space="preserve"> even if the above-mentioned CSI-RS is not transmitted </w:t>
      </w:r>
      <w:r>
        <w:rPr>
          <w:rFonts w:hint="eastAsia"/>
          <w:lang w:val="en-US" w:eastAsia="zh-CN"/>
        </w:rPr>
        <w:t>during non-active periods of cell DTX</w:t>
      </w:r>
      <w:r>
        <w:rPr>
          <w:rFonts w:hint="default" w:cs="Times"/>
          <w:szCs w:val="20"/>
          <w:lang w:val="en-US" w:eastAsia="zh-CN"/>
        </w:rPr>
        <w:t>, the UE can still normally</w:t>
      </w:r>
      <w:r>
        <w:rPr>
          <w:rFonts w:hint="eastAsia" w:cs="Times"/>
          <w:szCs w:val="20"/>
          <w:lang w:val="en-US" w:eastAsia="zh-CN"/>
        </w:rPr>
        <w:t xml:space="preserve"> </w:t>
      </w:r>
      <w:r>
        <w:rPr>
          <w:rFonts w:hint="default" w:cs="Times"/>
          <w:szCs w:val="20"/>
          <w:lang w:val="en-US" w:eastAsia="zh-CN"/>
        </w:rPr>
        <w:t>perform measurements</w:t>
      </w:r>
      <w:r>
        <w:rPr>
          <w:rFonts w:hint="eastAsia" w:cs="Times"/>
          <w:szCs w:val="20"/>
          <w:lang w:val="en-US" w:eastAsia="zh-CN"/>
        </w:rPr>
        <w:t xml:space="preserve"> </w:t>
      </w:r>
      <w:r>
        <w:rPr>
          <w:rFonts w:hint="default" w:cs="Times"/>
          <w:szCs w:val="20"/>
          <w:lang w:val="en-US" w:eastAsia="zh-CN"/>
        </w:rPr>
        <w:t>for RRM, RLM or beam failure</w:t>
      </w:r>
      <w:r>
        <w:rPr>
          <w:rFonts w:hint="eastAsia" w:cs="Times"/>
          <w:szCs w:val="20"/>
          <w:lang w:val="en-US" w:eastAsia="zh-CN"/>
        </w:rPr>
        <w:t xml:space="preserve"> </w:t>
      </w:r>
      <w:r>
        <w:rPr>
          <w:rFonts w:hint="default" w:cs="Times"/>
          <w:szCs w:val="20"/>
          <w:lang w:val="en-US" w:eastAsia="zh-CN"/>
        </w:rPr>
        <w:t xml:space="preserve">detection. </w:t>
      </w:r>
      <w:r>
        <w:rPr>
          <w:rFonts w:hint="eastAsia" w:cs="Times"/>
          <w:szCs w:val="20"/>
          <w:lang w:val="en-US" w:eastAsia="zh-CN"/>
        </w:rPr>
        <w:t>I</w:t>
      </w:r>
      <w:r>
        <w:rPr>
          <w:rFonts w:hint="default" w:cs="Times"/>
          <w:szCs w:val="20"/>
          <w:lang w:val="en-US" w:eastAsia="zh-CN"/>
        </w:rPr>
        <w:t>n short</w:t>
      </w:r>
      <w:r>
        <w:rPr>
          <w:rFonts w:hint="eastAsia" w:cs="Times"/>
          <w:szCs w:val="20"/>
          <w:lang w:val="en-US" w:eastAsia="zh-CN"/>
        </w:rPr>
        <w:t xml:space="preserve">, </w:t>
      </w:r>
      <w:r>
        <w:rPr>
          <w:rFonts w:hint="default" w:cs="Times"/>
          <w:szCs w:val="20"/>
          <w:lang w:val="en-US" w:eastAsia="zh-CN"/>
        </w:rPr>
        <w:t xml:space="preserve">Rel-18 UEs supporting Cell DTX may not </w:t>
      </w:r>
      <w:r>
        <w:rPr>
          <w:rFonts w:hint="eastAsia" w:cs="Times"/>
          <w:szCs w:val="20"/>
          <w:lang w:val="en-US" w:eastAsia="zh-CN"/>
        </w:rPr>
        <w:t xml:space="preserve">need to </w:t>
      </w:r>
      <w:r>
        <w:rPr>
          <w:rFonts w:hint="default" w:cs="Times"/>
          <w:szCs w:val="20"/>
          <w:lang w:val="en-US" w:eastAsia="zh-CN"/>
        </w:rPr>
        <w:t xml:space="preserve">receive and/or process CSI-RS from gNB for RRM, RLM and beam failure detection </w:t>
      </w:r>
      <w:r>
        <w:rPr>
          <w:rFonts w:hint="eastAsia"/>
          <w:lang w:val="en-US" w:eastAsia="zh-CN"/>
        </w:rPr>
        <w:t>during non-active periods of cell DTX</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1 </w:t>
      </w:r>
      <w:r>
        <w:rPr>
          <w:rFonts w:hint="eastAsia"/>
          <w:b/>
          <w:sz w:val="21"/>
          <w:szCs w:val="21"/>
          <w:lang w:val="en-US" w:eastAsia="zh-CN"/>
        </w:rPr>
        <w:t xml:space="preserve"> Rel-18 UEs supporting Cell DTX may not receive and/or process CSI-RS from gNB for RRM, RLM and beam failure detection during non-active periods of cell DTX</w:t>
      </w:r>
      <w:r>
        <w:rPr>
          <w:rFonts w:hint="default"/>
          <w:b/>
          <w:sz w:val="21"/>
          <w:szCs w:val="21"/>
          <w:lang w:val="en-US" w:eastAsia="zh-CN"/>
        </w:rPr>
        <w:t>.</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In addition to the CSI-RS, DCIs in the Type3-PDCCH CSS also needs to be analyzed.</w:t>
      </w:r>
    </w:p>
    <w:p>
      <w:pPr>
        <w:snapToGrid/>
        <w:spacing w:before="0" w:beforeLines="0" w:after="0" w:afterLines="50" w:line="360" w:lineRule="auto"/>
        <w:jc w:val="both"/>
        <w:rPr>
          <w:rFonts w:hint="default"/>
          <w:lang w:val="en-US" w:eastAsia="zh-CN"/>
        </w:rPr>
      </w:pPr>
      <w:r>
        <w:rPr>
          <w:rFonts w:hint="eastAsia" w:cs="Times New Roman"/>
          <w:bCs w:val="0"/>
          <w:i w:val="0"/>
          <w:iCs w:val="0"/>
          <w:caps w:val="0"/>
          <w:spacing w:val="0"/>
          <w:sz w:val="20"/>
          <w:szCs w:val="20"/>
          <w:shd w:val="clear"/>
          <w:lang w:val="en-US" w:eastAsia="zh-CN"/>
        </w:rPr>
        <w:t xml:space="preserve">According to TS 38.213 clause </w:t>
      </w:r>
      <w:r>
        <w:t>10</w:t>
      </w:r>
      <w:r>
        <w:rPr>
          <w:rFonts w:hint="eastAsia"/>
        </w:rPr>
        <w:t>.1</w:t>
      </w:r>
      <w:r>
        <w:rPr>
          <w:rFonts w:hint="eastAsia"/>
          <w:lang w:val="en-US" w:eastAsia="zh-CN"/>
        </w:rPr>
        <w:t>, Type3-PDCCH CSS is defined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9"/>
              <w:overflowPunct w:val="0"/>
              <w:autoSpaceDE w:val="0"/>
              <w:autoSpaceDN w:val="0"/>
              <w:adjustRightInd w:val="0"/>
              <w:textAlignment w:val="baseline"/>
              <w:rPr>
                <w:lang w:val="en-US" w:eastAsia="zh-CN"/>
              </w:rPr>
            </w:pPr>
            <w:r>
              <w:t xml:space="preserve">a Type3-PDCCH CSS </w:t>
            </w:r>
            <w:r>
              <w:rPr>
                <w:lang w:val="en-US"/>
              </w:rPr>
              <w:t xml:space="preserve">set </w:t>
            </w:r>
            <w:r>
              <w:rPr>
                <w:lang w:val="en-US" w:eastAsia="zh-CN"/>
              </w:rPr>
              <w:t xml:space="preserve">configured by </w:t>
            </w:r>
          </w:p>
          <w:p>
            <w:pPr>
              <w:pStyle w:val="31"/>
              <w:overflowPunct w:val="0"/>
              <w:autoSpaceDE w:val="0"/>
              <w:autoSpaceDN w:val="0"/>
              <w:adjustRightInd w:val="0"/>
              <w:textAlignment w:val="baseline"/>
              <w:rPr>
                <w:lang w:val="en-US"/>
              </w:rPr>
            </w:pPr>
            <w:r>
              <w:rPr>
                <w:lang w:val="en-US" w:eastAsia="zh-CN"/>
              </w:rPr>
              <w:t>-</w:t>
            </w:r>
            <w:r>
              <w:rPr>
                <w:lang w:val="en-US" w:eastAsia="zh-CN"/>
              </w:rPr>
              <w:tab/>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w:t>
            </w:r>
            <w:r>
              <w:rPr>
                <w:lang w:val="en-US"/>
              </w:rPr>
              <w:t xml:space="preserve">, or </w:t>
            </w:r>
          </w:p>
          <w:p>
            <w:pPr>
              <w:pStyle w:val="31"/>
              <w:overflowPunct w:val="0"/>
              <w:autoSpaceDE w:val="0"/>
              <w:autoSpaceDN w:val="0"/>
              <w:adjustRightInd w:val="0"/>
              <w:textAlignment w:val="baseline"/>
              <w:rPr>
                <w:lang w:val="en-US"/>
              </w:rPr>
            </w:pPr>
            <w:r>
              <w:rPr>
                <w:lang w:val="en-US" w:eastAsia="zh-CN"/>
              </w:rPr>
              <w:t>-</w:t>
            </w:r>
            <w:r>
              <w:rPr>
                <w:lang w:val="en-US" w:eastAsia="zh-CN"/>
              </w:rPr>
              <w:tab/>
            </w:r>
            <w:r>
              <w:rPr>
                <w:i/>
                <w:iCs/>
                <w:lang w:val="en-US" w:eastAsia="zh-CN"/>
              </w:rPr>
              <w:t>SearchSpace-Multicast</w:t>
            </w:r>
            <w:r>
              <w:rPr>
                <w:lang w:val="en-US" w:eastAsia="zh-CN"/>
              </w:rPr>
              <w:t xml:space="preserve"> in </w:t>
            </w:r>
            <w:r>
              <w:rPr>
                <w:i/>
                <w:iCs/>
                <w:lang w:val="en-US" w:eastAsia="zh-CN"/>
              </w:rPr>
              <w:t>PDCCH-Config-Multicast</w:t>
            </w:r>
            <w:r>
              <w:rPr>
                <w:lang w:val="en-US"/>
              </w:rPr>
              <w:t xml:space="preserve"> for DCI formats with CRC scrambled by G-RNTI, or G-CS-RNTI, or</w:t>
            </w:r>
          </w:p>
          <w:p>
            <w:pPr>
              <w:pStyle w:val="31"/>
              <w:overflowPunct w:val="0"/>
              <w:autoSpaceDE w:val="0"/>
              <w:autoSpaceDN w:val="0"/>
              <w:adjustRightInd w:val="0"/>
              <w:textAlignment w:val="baseline"/>
            </w:pPr>
            <w:r>
              <w:t>-</w:t>
            </w:r>
            <w:r>
              <w:tab/>
            </w:r>
            <w:r>
              <w:rPr>
                <w:i/>
                <w:iCs/>
              </w:rPr>
              <w:t>searchSpaceBroadcast</w:t>
            </w:r>
            <w:r>
              <w:rPr>
                <w:i/>
                <w:iCs/>
                <w:lang w:val="en-US" w:eastAsia="zh-CN"/>
              </w:rPr>
              <w:t xml:space="preserve"> </w:t>
            </w:r>
            <w:r>
              <w:rPr>
                <w:iCs/>
                <w:lang w:val="en-US" w:eastAsia="zh-CN"/>
              </w:rPr>
              <w:t xml:space="preserve">in </w:t>
            </w:r>
            <w:r>
              <w:rPr>
                <w:i/>
                <w:iCs/>
                <w:lang w:val="en-US" w:eastAsia="zh-CN"/>
              </w:rPr>
              <w:t>pdcch-Config-MCCH</w:t>
            </w:r>
            <w:r>
              <w:rPr>
                <w:iCs/>
                <w:lang w:val="en-US" w:eastAsia="zh-CN"/>
              </w:rPr>
              <w:t xml:space="preserve"> and </w:t>
            </w:r>
            <w:r>
              <w:rPr>
                <w:i/>
                <w:iCs/>
                <w:lang w:val="en-US" w:eastAsia="zh-CN"/>
              </w:rPr>
              <w:t>pdcch-Config-MTCH</w:t>
            </w:r>
            <w:r>
              <w:rPr>
                <w:iCs/>
                <w:lang w:val="en-US" w:eastAsia="zh-CN"/>
              </w:rPr>
              <w:t xml:space="preserve"> on a secondary cell for</w:t>
            </w:r>
            <w:r>
              <w:t xml:space="preserve"> </w:t>
            </w:r>
            <w:r>
              <w:rPr>
                <w:lang w:val="en-US"/>
              </w:rPr>
              <w:t xml:space="preserve">a </w:t>
            </w:r>
            <w:r>
              <w:t>DCI format</w:t>
            </w:r>
            <w:r>
              <w:rPr>
                <w:lang w:val="en-US"/>
              </w:rPr>
              <w:t xml:space="preserve"> 4_0</w:t>
            </w:r>
            <w:r>
              <w:t xml:space="preserve"> with CRC scrambled by </w:t>
            </w:r>
            <w:r>
              <w:rPr>
                <w:lang w:val="en-US"/>
              </w:rPr>
              <w:t xml:space="preserve">a MCCH-RNTI or </w:t>
            </w:r>
            <w:r>
              <w:t xml:space="preserve">a </w:t>
            </w:r>
            <w:r>
              <w:rPr>
                <w:lang w:val="en-US"/>
              </w:rPr>
              <w:t>G</w:t>
            </w:r>
            <w:r>
              <w:t>-RNTI</w:t>
            </w:r>
            <w:r>
              <w:rPr>
                <w:lang w:val="en-US"/>
              </w:rPr>
              <w:t>,</w:t>
            </w:r>
            <w:r>
              <w:t xml:space="preserve"> and</w:t>
            </w:r>
          </w:p>
          <w:p>
            <w:pPr>
              <w:overflowPunct w:val="0"/>
              <w:autoSpaceDE w:val="0"/>
              <w:autoSpaceDN w:val="0"/>
              <w:adjustRightInd w:val="0"/>
              <w:snapToGrid/>
              <w:spacing w:before="60" w:beforeLines="0" w:after="60" w:afterLines="0" w:line="360" w:lineRule="auto"/>
              <w:jc w:val="both"/>
              <w:textAlignment w:val="baseline"/>
              <w:rPr>
                <w:rFonts w:hint="default" w:cs="Times New Roman"/>
                <w:bCs w:val="0"/>
                <w:i w:val="0"/>
                <w:iCs w:val="0"/>
                <w:caps w:val="0"/>
                <w:spacing w:val="0"/>
                <w:sz w:val="20"/>
                <w:szCs w:val="20"/>
                <w:shd w:val="clear"/>
                <w:vertAlign w:val="baseline"/>
                <w:lang w:val="en-US" w:eastAsia="zh-CN"/>
              </w:rPr>
            </w:pPr>
          </w:p>
        </w:tc>
      </w:tr>
    </w:tbl>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Therefore, for DCIs in type3-PDCCH CSS, we can analyze DCI format 2_6 and DCI format 2_7 preferentially.</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 xml:space="preserve">First, for the DCI format 2_6, it is mainly used to indicate whether to monitor the UE C-DRX. Therefore, if the DCI format 2_6 falls within the non-active time of the cell DTX and is not monitored, the UE will frequently monitor the UE C-DRX according to the legacy C-DRX configuration, which is very unfavorable for UE power saving. Therefore, it is recommended that DCI format 2_6 falls within the activation time of the cell DTX. </w:t>
      </w:r>
    </w:p>
    <w:p>
      <w:pPr>
        <w:snapToGrid/>
        <w:spacing w:before="0" w:beforeLines="0" w:after="0" w:afterLines="50" w:line="360" w:lineRule="auto"/>
        <w:jc w:val="both"/>
        <w:rPr>
          <w:rFonts w:hint="eastAsia" w:cs="Times New Roman"/>
          <w:bCs w:val="0"/>
          <w:i w:val="0"/>
          <w:iCs w:val="0"/>
          <w:caps w:val="0"/>
          <w:spacing w:val="0"/>
          <w:sz w:val="20"/>
          <w:szCs w:val="20"/>
          <w:shd w:val="clear"/>
          <w:lang w:val="en-US" w:eastAsia="zh-CN"/>
        </w:rPr>
      </w:pPr>
      <w:r>
        <w:rPr>
          <w:rFonts w:hint="eastAsia" w:cs="Times New Roman"/>
          <w:bCs w:val="0"/>
          <w:i w:val="0"/>
          <w:iCs w:val="0"/>
          <w:caps w:val="0"/>
          <w:spacing w:val="0"/>
          <w:sz w:val="20"/>
          <w:szCs w:val="20"/>
          <w:shd w:val="clear"/>
          <w:lang w:val="en-US" w:eastAsia="zh-CN"/>
        </w:rPr>
        <w:t>Second, for DCI format 2_7, it is mainly used to indicate whether to monitor the paging in RRC idle and RRC inactive states. And according to the discussion of RAN2, cell DTX/DRX has no impact on RRC idle and RRC inactive states. Therefore, cell DTX should not affect the monitoring behavior of DCI format 2_7. Similarly, it can be suggested that DCI format 2_7 falls within the cell DTX activation time.</w:t>
      </w:r>
    </w:p>
    <w:p>
      <w:pPr>
        <w:spacing w:before="0" w:beforeLines="0" w:after="0" w:afterLines="50" w:line="360" w:lineRule="auto"/>
        <w:jc w:val="both"/>
        <w:rPr>
          <w:rFonts w:hint="default"/>
          <w:b w:val="0"/>
          <w:sz w:val="20"/>
          <w:szCs w:val="20"/>
          <w:lang w:val="en-US" w:eastAsia="zh-CN"/>
        </w:rPr>
      </w:pPr>
      <w:r>
        <w:rPr>
          <w:rFonts w:hint="eastAsia"/>
          <w:b w:val="0"/>
          <w:sz w:val="20"/>
          <w:szCs w:val="20"/>
          <w:lang w:val="en-US" w:eastAsia="zh-CN"/>
        </w:rPr>
        <w:t>To sum up, DCI format 2_6 or DCI format 2_7 should not be affected during non-active periods of cell DTX/DRX.</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pStyle w:val="3"/>
        <w:pBdr>
          <w:top w:val="none" w:color="auto" w:sz="0" w:space="0"/>
        </w:pBdr>
        <w:spacing w:before="240" w:beforeLines="-2147483648" w:after="180" w:afterLines="-2147483648" w:line="240" w:lineRule="auto"/>
        <w:ind w:left="573" w:hanging="573"/>
        <w:rPr>
          <w:rFonts w:hint="default"/>
          <w:b w:val="0"/>
          <w:bCs w:val="0"/>
          <w:sz w:val="32"/>
          <w:szCs w:val="32"/>
          <w:lang w:val="en-US" w:eastAsia="zh-CN"/>
        </w:rPr>
      </w:pPr>
      <w:r>
        <w:rPr>
          <w:rFonts w:hint="eastAsia" w:cs="Times New Roman"/>
          <w:b w:val="0"/>
          <w:bCs w:val="0"/>
          <w:i w:val="0"/>
          <w:iCs w:val="0"/>
          <w:caps w:val="0"/>
          <w:spacing w:val="0"/>
          <w:sz w:val="32"/>
          <w:szCs w:val="32"/>
          <w:shd w:val="clear"/>
          <w:lang w:val="en-US" w:eastAsia="zh-CN"/>
        </w:rPr>
        <w:t>C</w:t>
      </w:r>
      <w:r>
        <w:rPr>
          <w:rFonts w:hint="default" w:ascii="Arial" w:hAnsi="Arial" w:eastAsia="黑体" w:cs="Times New Roman"/>
          <w:b w:val="0"/>
          <w:bCs w:val="0"/>
          <w:i w:val="0"/>
          <w:iCs w:val="0"/>
          <w:caps w:val="0"/>
          <w:spacing w:val="0"/>
          <w:sz w:val="32"/>
          <w:szCs w:val="32"/>
          <w:shd w:val="clear"/>
          <w:lang w:val="en-US" w:eastAsia="zh-CN"/>
        </w:rPr>
        <w:t xml:space="preserve">onfiguration of </w:t>
      </w:r>
      <w:r>
        <w:rPr>
          <w:rFonts w:hint="default" w:cs="Times New Roman"/>
          <w:b w:val="0"/>
          <w:bCs w:val="0"/>
          <w:i w:val="0"/>
          <w:iCs w:val="0"/>
          <w:caps w:val="0"/>
          <w:spacing w:val="0"/>
          <w:sz w:val="32"/>
          <w:szCs w:val="32"/>
          <w:shd w:val="clear"/>
          <w:lang w:val="en-US" w:eastAsia="zh-CN"/>
        </w:rPr>
        <w:t xml:space="preserve">cell </w:t>
      </w:r>
      <w:r>
        <w:rPr>
          <w:rFonts w:hint="default" w:ascii="Arial" w:hAnsi="Arial" w:eastAsia="黑体" w:cs="Times New Roman"/>
          <w:b w:val="0"/>
          <w:bCs w:val="0"/>
          <w:i w:val="0"/>
          <w:iCs w:val="0"/>
          <w:caps w:val="0"/>
          <w:spacing w:val="0"/>
          <w:sz w:val="32"/>
          <w:szCs w:val="32"/>
          <w:shd w:val="clear"/>
          <w:lang w:val="en-US" w:eastAsia="zh-CN"/>
        </w:rPr>
        <w:t>DTX/DRX</w:t>
      </w:r>
      <w:r>
        <w:rPr>
          <w:rFonts w:hint="default" w:cs="Times New Roman"/>
          <w:b w:val="0"/>
          <w:bCs w:val="0"/>
          <w:i w:val="0"/>
          <w:iCs w:val="0"/>
          <w:caps w:val="0"/>
          <w:spacing w:val="0"/>
          <w:sz w:val="32"/>
          <w:szCs w:val="32"/>
          <w:shd w:val="clear"/>
          <w:lang w:val="en-US" w:eastAsia="zh-CN"/>
        </w:rPr>
        <w:t>.</w:t>
      </w:r>
    </w:p>
    <w:p>
      <w:pPr>
        <w:spacing w:before="0" w:beforeLines="0" w:after="0" w:afterLines="50" w:line="360" w:lineRule="auto"/>
        <w:jc w:val="both"/>
        <w:rPr>
          <w:rFonts w:hint="eastAsia" w:ascii="Times New Roman" w:hAnsi="Times New Roman" w:eastAsia="宋体" w:cs="Times New Roman"/>
          <w:bCs w:val="0"/>
          <w:i w:val="0"/>
          <w:iCs w:val="0"/>
          <w:caps w:val="0"/>
          <w:spacing w:val="0"/>
          <w:sz w:val="20"/>
          <w:szCs w:val="20"/>
          <w:shd w:val="clear"/>
          <w:lang w:val="en-US" w:eastAsia="zh-CN"/>
        </w:rPr>
      </w:pPr>
      <w:r>
        <w:rPr>
          <w:rFonts w:hint="eastAsia" w:ascii="Times New Roman" w:hAnsi="Times New Roman" w:eastAsia="宋体" w:cs="Times New Roman"/>
          <w:bCs w:val="0"/>
          <w:i w:val="0"/>
          <w:iCs w:val="0"/>
          <w:caps w:val="0"/>
          <w:spacing w:val="0"/>
          <w:sz w:val="20"/>
          <w:szCs w:val="20"/>
          <w:shd w:val="clear"/>
          <w:lang w:val="en-US" w:eastAsia="zh-CN"/>
        </w:rPr>
        <w:t xml:space="preserve">After analyzing which signals/channels may not be expected to be transmitted or received during </w:t>
      </w:r>
      <w:r>
        <w:rPr>
          <w:rFonts w:hint="eastAsia" w:cs="Times New Roman"/>
          <w:bCs w:val="0"/>
          <w:i w:val="0"/>
          <w:iCs w:val="0"/>
          <w:caps w:val="0"/>
          <w:spacing w:val="0"/>
          <w:sz w:val="20"/>
          <w:szCs w:val="20"/>
          <w:shd w:val="clear"/>
          <w:lang w:val="en-US" w:eastAsia="zh-CN"/>
        </w:rPr>
        <w:t xml:space="preserve">non-active period of cell </w:t>
      </w:r>
      <w:r>
        <w:rPr>
          <w:rFonts w:hint="eastAsia" w:ascii="Times New Roman" w:hAnsi="Times New Roman" w:eastAsia="宋体" w:cs="Times New Roman"/>
          <w:bCs w:val="0"/>
          <w:i w:val="0"/>
          <w:iCs w:val="0"/>
          <w:caps w:val="0"/>
          <w:spacing w:val="0"/>
          <w:sz w:val="20"/>
          <w:szCs w:val="20"/>
          <w:shd w:val="clear"/>
          <w:lang w:val="en-US" w:eastAsia="zh-CN"/>
        </w:rPr>
        <w:t xml:space="preserve">DTX/DRX, the second thing to focus on is the configuration of </w:t>
      </w:r>
      <w:r>
        <w:rPr>
          <w:rFonts w:hint="eastAsia" w:cs="Times New Roman"/>
          <w:bCs w:val="0"/>
          <w:i w:val="0"/>
          <w:iCs w:val="0"/>
          <w:caps w:val="0"/>
          <w:spacing w:val="0"/>
          <w:sz w:val="20"/>
          <w:szCs w:val="20"/>
          <w:shd w:val="clear"/>
          <w:lang w:val="en-US" w:eastAsia="zh-CN"/>
        </w:rPr>
        <w:t xml:space="preserve">cell </w:t>
      </w:r>
      <w:r>
        <w:rPr>
          <w:rFonts w:hint="eastAsia" w:ascii="Times New Roman" w:hAnsi="Times New Roman" w:eastAsia="宋体" w:cs="Times New Roman"/>
          <w:bCs w:val="0"/>
          <w:i w:val="0"/>
          <w:iCs w:val="0"/>
          <w:caps w:val="0"/>
          <w:spacing w:val="0"/>
          <w:sz w:val="20"/>
          <w:szCs w:val="20"/>
          <w:shd w:val="clear"/>
          <w:lang w:val="en-US" w:eastAsia="zh-CN"/>
        </w:rPr>
        <w:t>DTX/DRX</w:t>
      </w:r>
      <w:r>
        <w:rPr>
          <w:rFonts w:hint="eastAsia" w:cs="Times New Roman"/>
          <w:bCs w:val="0"/>
          <w:i w:val="0"/>
          <w:iCs w:val="0"/>
          <w:caps w:val="0"/>
          <w:spacing w:val="0"/>
          <w:sz w:val="20"/>
          <w:szCs w:val="20"/>
          <w:shd w:val="clear"/>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after="0"/>
              <w:textAlignment w:val="baseline"/>
              <w:outlineLvl w:val="4"/>
              <w:rPr>
                <w:b/>
                <w:lang w:eastAsia="ja-JP"/>
              </w:rPr>
            </w:pPr>
            <w:r>
              <w:rPr>
                <w:rFonts w:hint="eastAsia" w:eastAsiaTheme="minorEastAsia"/>
                <w:b/>
                <w:u w:val="single"/>
                <w:lang w:eastAsia="zh-CN"/>
              </w:rPr>
              <w:t>R</w:t>
            </w:r>
            <w:r>
              <w:rPr>
                <w:rFonts w:eastAsiaTheme="minorEastAsia"/>
                <w:b/>
                <w:u w:val="single"/>
                <w:lang w:eastAsia="zh-CN"/>
              </w:rPr>
              <w:t>AN2#121</w:t>
            </w:r>
          </w:p>
          <w:p>
            <w:pPr>
              <w:numPr>
                <w:ilvl w:val="-1"/>
                <w:numId w:val="0"/>
              </w:numPr>
              <w:overflowPunct/>
              <w:autoSpaceDE/>
              <w:autoSpaceDN/>
              <w:adjustRightInd/>
              <w:spacing w:after="0"/>
              <w:textAlignment w:val="auto"/>
              <w:rPr>
                <w:lang w:val="en-US" w:eastAsia="ja-JP"/>
              </w:rPr>
            </w:pPr>
            <w:r>
              <w:rPr>
                <w:b/>
                <w:lang w:eastAsia="ja-JP"/>
              </w:rPr>
              <w:t>Cell DTX/DRX:</w:t>
            </w:r>
          </w:p>
          <w:p>
            <w:pPr>
              <w:numPr>
                <w:ilvl w:val="0"/>
                <w:numId w:val="8"/>
              </w:numPr>
              <w:overflowPunct/>
              <w:autoSpaceDE/>
              <w:autoSpaceDN/>
              <w:adjustRightInd/>
              <w:spacing w:after="0"/>
              <w:textAlignment w:val="auto"/>
              <w:rPr>
                <w:lang w:val="en-US" w:eastAsia="ja-JP"/>
              </w:rPr>
            </w:pPr>
            <w:r>
              <w:rPr>
                <w:lang w:val="en-US" w:eastAsia="ja-JP"/>
              </w:rPr>
              <w:t xml:space="preserve">Confirm study item agreement that we can have separate DTX and DRX configuration. We will focus on designing DTX/DRX for at least single configuration. </w:t>
            </w:r>
            <w:r>
              <w:rPr>
                <w:rFonts w:hint="eastAsia"/>
                <w:lang w:val="en-US" w:eastAsia="zh-CN"/>
              </w:rPr>
              <w:t xml:space="preserve">A </w:t>
            </w:r>
            <w:r>
              <w:rPr>
                <w:lang w:val="en-US" w:eastAsia="ja-JP"/>
              </w:rPr>
              <w:t xml:space="preserve">FFS whether multiple configuration of cell DTX or DRX will be supported.  </w:t>
            </w:r>
          </w:p>
          <w:p>
            <w:pPr>
              <w:overflowPunct w:val="0"/>
              <w:autoSpaceDE w:val="0"/>
              <w:autoSpaceDN w:val="0"/>
              <w:adjustRightInd w:val="0"/>
              <w:spacing w:before="0" w:beforeLines="0" w:after="0" w:afterLines="0" w:line="360" w:lineRule="auto"/>
              <w:jc w:val="both"/>
              <w:textAlignment w:val="baseline"/>
              <w:rPr>
                <w:rFonts w:hint="default"/>
                <w:b/>
                <w:sz w:val="21"/>
                <w:szCs w:val="21"/>
                <w:vertAlign w:val="baseline"/>
                <w:lang w:val="en-US" w:eastAsia="zh-CN"/>
              </w:rPr>
            </w:pPr>
          </w:p>
        </w:tc>
      </w:tr>
    </w:tbl>
    <w:p>
      <w:pPr>
        <w:snapToGrid/>
        <w:spacing w:before="0" w:beforeLines="0" w:after="0" w:afterLines="50" w:line="360" w:lineRule="auto"/>
        <w:jc w:val="both"/>
        <w:rPr>
          <w:rFonts w:hint="eastAsia"/>
          <w:bCs w:val="0"/>
          <w:lang w:val="en-US" w:eastAsia="zh-CN"/>
        </w:rPr>
      </w:pPr>
      <w:r>
        <w:rPr>
          <w:rFonts w:hint="eastAsia"/>
          <w:bCs w:val="0"/>
          <w:lang w:val="en-US" w:eastAsia="zh-CN"/>
        </w:rPr>
        <w:t>First, according to the agreement in RAN2#121 meeting, separate DTX and DRX configurations should be supported. From our point of view, if separate DTX and DRX configurations are used, during the inactive time of the cell DTX, the gNB can stop the signal/channel transmission, but can still perform the signal/channel reception; while during the inactive time of the cell DRX, the gNB can stop the signal/channel reception, but channel/signal transmission can still be done. All in all, separate DTX and DRX configurations bring more flexibility for gNB reception and transmission. However, in order to better realize network energy saving, we still need to make some constraints on the activation time of cell DTX and cell DRX, for example, the activation time of cell DTX is a subset of the activation time of cell DRX. In this way, the inactive time of DTX and the inactive time of DRX will overlap to a large extent, so that a large period of inactive time can be reserved for gNB to enter the sleep mode.</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pacing w:before="0" w:beforeLines="0" w:after="0" w:afterLines="50" w:line="360" w:lineRule="auto"/>
        <w:jc w:val="both"/>
        <w:rPr>
          <w:rFonts w:hint="default"/>
          <w:lang w:val="en-US" w:eastAsia="zh-CN"/>
        </w:rPr>
      </w:pPr>
      <w:r>
        <w:rPr>
          <w:rFonts w:hint="eastAsia"/>
          <w:lang w:val="en-US" w:eastAsia="zh-CN"/>
        </w:rPr>
        <w:t>Second, according to TR 38.864[2], the power consumption model of gNB has multiple power states, and each power state has its own sleep time requirements, so different power states can be configured for different cell DTX/DRX configurations. At the same time, configuring different cell DTX/DRX configurations for different power states can also increase the flexibility of scheduling. Therefore, configuring different cell DTX/DRX configurations for different power states should be supported.</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Signaling Aspects of Cell DTX/DRX</w:t>
      </w:r>
    </w:p>
    <w:p>
      <w:pPr>
        <w:rPr>
          <w:rFonts w:hint="default"/>
          <w:lang w:val="en-US" w:eastAsia="zh-CN"/>
        </w:rPr>
      </w:pPr>
      <w:r>
        <w:rPr>
          <w:rFonts w:hint="eastAsia"/>
          <w:b w:val="0"/>
          <w:bCs w:val="0"/>
          <w:lang w:val="en-US" w:eastAsia="zh-CN"/>
        </w:rPr>
        <w:t xml:space="preserve">In the RAN1#113 meeting, the configuration of </w:t>
      </w:r>
      <w:r>
        <w:rPr>
          <w:rFonts w:cs="Times"/>
          <w:szCs w:val="20"/>
          <w:lang w:eastAsia="zh-CN"/>
        </w:rPr>
        <w:t>group common L1 signaling</w:t>
      </w:r>
      <w:r>
        <w:rPr>
          <w:rFonts w:hint="eastAsia" w:cs="Times"/>
          <w:szCs w:val="20"/>
          <w:lang w:val="en-US" w:eastAsia="zh-CN"/>
        </w:rPr>
        <w:t xml:space="preserve"> is summarized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highlight w:val="green"/>
                <w:lang w:eastAsia="zh-CN"/>
              </w:rPr>
            </w:pPr>
            <w:r>
              <w:rPr>
                <w:highlight w:val="green"/>
                <w:lang w:eastAsia="zh-CN"/>
              </w:rPr>
              <w:t>Agreement</w:t>
            </w:r>
          </w:p>
          <w:p>
            <w:pPr>
              <w:overflowPunct w:val="0"/>
              <w:autoSpaceDE w:val="0"/>
              <w:autoSpaceDN w:val="0"/>
              <w:adjustRightInd w:val="0"/>
              <w:jc w:val="both"/>
              <w:textAlignment w:val="baseline"/>
              <w:rPr>
                <w:rFonts w:cs="Times"/>
                <w:szCs w:val="20"/>
                <w:lang w:eastAsia="zh-CN"/>
              </w:rPr>
            </w:pPr>
            <w:r>
              <w:rPr>
                <w:rFonts w:cs="Times"/>
                <w:szCs w:val="20"/>
                <w:lang w:eastAsia="zh-CN"/>
              </w:rPr>
              <w:t>For the group common L1 signaling using PDCCH for cell DTX/DRX activation and deactivation</w:t>
            </w:r>
          </w:p>
          <w:p>
            <w:pPr>
              <w:numPr>
                <w:ilvl w:val="0"/>
                <w:numId w:val="6"/>
              </w:numPr>
              <w:suppressAutoHyphens/>
              <w:overflowPunct w:val="0"/>
              <w:autoSpaceDE w:val="0"/>
              <w:autoSpaceDN w:val="0"/>
              <w:adjustRightInd w:val="0"/>
              <w:spacing w:line="254" w:lineRule="auto"/>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Alt 2) Based on new DCI format 2_X</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DCI size budget is not increased</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Number of required BDs is not increased</w:t>
            </w:r>
          </w:p>
          <w:p>
            <w:pPr>
              <w:numPr>
                <w:ilvl w:val="1"/>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FFS: PDCCH monitoring configuration for the new DCI format is identical to PDCCH monitoring configuration for DCI format 2_6 if the UE monitors both DCI formats</w:t>
            </w:r>
          </w:p>
          <w:p>
            <w:pPr>
              <w:numPr>
                <w:ilvl w:val="2"/>
                <w:numId w:val="6"/>
              </w:numPr>
              <w:suppressAutoHyphens/>
              <w:overflowPunct w:val="0"/>
              <w:autoSpaceDE w:val="0"/>
              <w:autoSpaceDN w:val="0"/>
              <w:adjustRightInd w:val="0"/>
              <w:spacing w:line="254" w:lineRule="auto"/>
              <w:textAlignment w:val="baseline"/>
              <w:rPr>
                <w:rFonts w:eastAsia="Malgun Gothic"/>
                <w:szCs w:val="20"/>
                <w:lang w:eastAsia="zh-CN"/>
              </w:rPr>
            </w:pPr>
            <w:r>
              <w:rPr>
                <w:rFonts w:eastAsia="Malgun Gothic"/>
                <w:szCs w:val="20"/>
                <w:lang w:eastAsia="zh-CN"/>
              </w:rPr>
              <w:t>FFS: New RNTI is used</w:t>
            </w:r>
          </w:p>
          <w:p>
            <w:pPr>
              <w:overflowPunct w:val="0"/>
              <w:autoSpaceDE w:val="0"/>
              <w:autoSpaceDN w:val="0"/>
              <w:adjustRightInd w:val="0"/>
              <w:textAlignment w:val="baseline"/>
              <w:rPr>
                <w:rFonts w:hint="default"/>
                <w:b w:val="0"/>
                <w:bCs w:val="0"/>
                <w:vertAlign w:val="baseline"/>
                <w:lang w:val="en-US" w:eastAsia="zh-CN"/>
              </w:rPr>
            </w:pPr>
          </w:p>
        </w:tc>
      </w:tr>
    </w:tbl>
    <w:p>
      <w:pPr>
        <w:spacing w:before="0" w:after="0" w:afterLines="50" w:line="360" w:lineRule="auto"/>
        <w:jc w:val="both"/>
        <w:rPr>
          <w:rFonts w:hint="eastAsia"/>
          <w:b w:val="0"/>
          <w:sz w:val="20"/>
          <w:szCs w:val="20"/>
          <w:lang w:val="en-US" w:eastAsia="zh-CN"/>
        </w:rPr>
      </w:pPr>
      <w:r>
        <w:rPr>
          <w:rFonts w:hint="eastAsia"/>
          <w:b w:val="0"/>
          <w:sz w:val="20"/>
          <w:szCs w:val="20"/>
          <w:lang w:val="en-US" w:eastAsia="zh-CN"/>
        </w:rPr>
        <w:t xml:space="preserve">For the first FFS, since the activation time of C-DRX may fall within the activation time of cell DTX/DRX, the UE may need to monitor these two DCI formats at the same time. Further, if the UE monitors these two DCI formats at the same time, the PDCCH monitoring configuration for the new DCI format can be identical to the PDCCH monitoring configuration for DCI format 2_6. </w:t>
      </w:r>
    </w:p>
    <w:p>
      <w:pPr>
        <w:spacing w:before="0" w:after="0" w:afterLines="50" w:line="360" w:lineRule="auto"/>
        <w:jc w:val="both"/>
        <w:rPr>
          <w:rFonts w:hint="eastAsia"/>
          <w:b w:val="0"/>
          <w:sz w:val="20"/>
          <w:szCs w:val="20"/>
          <w:lang w:val="en-US" w:eastAsia="zh-CN"/>
        </w:rPr>
      </w:pPr>
      <w:r>
        <w:rPr>
          <w:rFonts w:hint="eastAsia"/>
          <w:b w:val="0"/>
          <w:sz w:val="20"/>
          <w:szCs w:val="20"/>
          <w:lang w:val="en-US" w:eastAsia="zh-CN"/>
        </w:rPr>
        <w:t>For the second FFS, in order to reduce the number of PDCCH blind detection, the size of the new DCI format may be the same as that of a certain DCI format. Therefore, in order to distinguish DCI formats with different functions, the new DCI format can use a new RNTI value.</w:t>
      </w:r>
    </w:p>
    <w:p>
      <w:pPr>
        <w:spacing w:before="60" w:beforeLines="0" w:after="60" w:afterLines="0" w:line="360" w:lineRule="auto"/>
        <w:jc w:val="both"/>
        <w:rPr>
          <w:rFonts w:hint="default"/>
          <w:b w:val="0"/>
          <w:bCs w:val="0"/>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New RNTI is used</w:t>
      </w:r>
      <w:r>
        <w:rPr>
          <w:rFonts w:hint="eastAsia"/>
          <w:b/>
          <w:sz w:val="21"/>
          <w:szCs w:val="21"/>
          <w:lang w:val="en-US" w:eastAsia="zh-CN"/>
        </w:rPr>
        <w:t xml:space="preserve"> for the new DCI format .</w:t>
      </w:r>
    </w:p>
    <w:p>
      <w:pPr>
        <w:pStyle w:val="3"/>
        <w:pBdr>
          <w:top w:val="none" w:color="auto" w:sz="0" w:space="0"/>
        </w:pBdr>
        <w:overflowPunct w:val="0"/>
        <w:autoSpaceDE w:val="0"/>
        <w:autoSpaceDN w:val="0"/>
        <w:adjustRightInd w:val="0"/>
        <w:spacing w:before="180" w:beforeLines="-2147483648" w:beforeAutospacing="0" w:after="180" w:afterLines="-2147483648" w:afterAutospacing="0" w:line="240" w:lineRule="auto"/>
        <w:ind w:left="1134" w:hanging="1134"/>
        <w:textAlignment w:val="baseline"/>
        <w:rPr>
          <w:rFonts w:hint="eastAsia"/>
          <w:b w:val="0"/>
          <w:bCs w:val="0"/>
          <w:lang w:val="en-US" w:eastAsia="zh-CN"/>
        </w:rPr>
      </w:pPr>
      <w:r>
        <w:rPr>
          <w:rFonts w:hint="eastAsia"/>
          <w:b w:val="0"/>
          <w:bCs w:val="0"/>
          <w:lang w:val="en-US" w:eastAsia="zh-CN"/>
        </w:rPr>
        <w:t>Interaction of Cell DTX/DRX with UE DRX</w:t>
      </w:r>
    </w:p>
    <w:p>
      <w:pPr>
        <w:spacing w:before="0" w:after="0" w:afterLines="50" w:line="360" w:lineRule="auto"/>
        <w:jc w:val="both"/>
        <w:rPr>
          <w:rFonts w:hint="eastAsia"/>
          <w:lang w:val="en-US" w:eastAsia="zh-CN"/>
        </w:rPr>
      </w:pPr>
      <w:r>
        <w:rPr>
          <w:rFonts w:hint="eastAsia"/>
          <w:lang w:val="en-US" w:eastAsia="zh-CN"/>
        </w:rPr>
        <w:t>In the current specification, UE C-DRX is configured per UE through RRC signaling. And depending on the gNB scheduler, the inactive time of one UE's DRX cycle may be the active time of another UE's DRX cycle. Therefore, the inactive time left for the gNB in the entire DRX cycle is limited. In order to better achieve network energy saving, the DRX cycles or offsets for different UEs in the NES cell can be aligned, which provides longer inactive time for the gNB for network energy saving. However, the alignment of DRX cycles or offsets of different UEs can only be done through</w:t>
      </w:r>
      <w:r>
        <w:t xml:space="preserve"> </w:t>
      </w:r>
      <w:r>
        <w:rPr>
          <w:rFonts w:hint="eastAsia"/>
          <w:lang w:val="en-US" w:eastAsia="zh-CN"/>
        </w:rPr>
        <w:t xml:space="preserve">UE-specific </w:t>
      </w:r>
      <w:r>
        <w:t>RRC</w:t>
      </w:r>
      <w:r>
        <w:rPr>
          <w:rFonts w:hint="eastAsia"/>
          <w:lang w:val="en-US" w:eastAsia="zh-CN"/>
        </w:rPr>
        <w:t xml:space="preserve">, which will waste a lot of signaling and incur more delays. Therefore, how to align the DRX cycles or offsets </w:t>
      </w:r>
      <w:r>
        <w:t>for different UEs</w:t>
      </w:r>
      <w:r>
        <w:rPr>
          <w:rFonts w:hint="eastAsia"/>
          <w:lang w:val="en-US" w:eastAsia="zh-CN"/>
        </w:rPr>
        <w:t xml:space="preserve"> needs to be further studied.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How to align the DRX cycles or offsets for different UEs needs to be further studied.</w:t>
      </w:r>
    </w:p>
    <w:p>
      <w:pPr>
        <w:spacing w:before="0" w:after="0" w:afterLines="50" w:line="360" w:lineRule="auto"/>
        <w:jc w:val="both"/>
        <w:rPr>
          <w:rFonts w:hint="eastAsia"/>
          <w:lang w:val="en-US" w:eastAsia="zh-CN"/>
        </w:rPr>
      </w:pPr>
      <w:r>
        <w:rPr>
          <w:rFonts w:hint="eastAsia"/>
          <w:lang w:val="en-US" w:eastAsia="zh-CN"/>
        </w:rPr>
        <w:t>Furthermore, in the current specification, although the UE does not monitor the PDCCH during DRX inactive time, it can still perform UL transmission according to the configured resources (</w:t>
      </w:r>
      <w:r>
        <w:t>e.g.</w:t>
      </w:r>
      <w:r>
        <w:rPr>
          <w:rFonts w:hint="eastAsia"/>
          <w:lang w:val="en-US" w:eastAsia="zh-CN"/>
        </w:rPr>
        <w:t xml:space="preserve"> using PUCCH, RACH, SR or CG-PUSCH). Therefore, a NB still cannot completely turn off partial or all radios to enter an NES state during the DRX inactive time of the UE. Therefore, it is beneficial to align UE DRX with cell DTX and DRX between multiple UEs.</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eastAsia="宋体"/>
          <w:sz w:val="20"/>
          <w:szCs w:val="20"/>
          <w:lang w:val="en-US" w:eastAsia="zh-CN"/>
        </w:rPr>
        <w:t xml:space="preserve">candidate techniques of network energy saving </w:t>
      </w:r>
      <w:r>
        <w:rPr>
          <w:rFonts w:hint="eastAsia"/>
          <w:sz w:val="20"/>
          <w:szCs w:val="20"/>
          <w:lang w:val="en-US" w:eastAsia="zh-CN"/>
        </w:rPr>
        <w:t>o</w:t>
      </w:r>
      <w:r>
        <w:rPr>
          <w:rFonts w:hint="eastAsia" w:eastAsia="宋体"/>
          <w:sz w:val="20"/>
          <w:szCs w:val="20"/>
          <w:lang w:val="en-US" w:eastAsia="zh-CN"/>
        </w:rPr>
        <w:t xml:space="preserve">n </w:t>
      </w:r>
      <w:r>
        <w:rPr>
          <w:rFonts w:hint="eastAsia"/>
          <w:sz w:val="20"/>
          <w:szCs w:val="20"/>
          <w:lang w:val="en-US" w:eastAsia="zh-CN"/>
        </w:rPr>
        <w:t>cell DTX/DRX</w:t>
      </w:r>
      <w:r>
        <w:rPr>
          <w:rFonts w:hint="eastAsia"/>
          <w:sz w:val="20"/>
          <w:szCs w:val="20"/>
          <w:lang w:val="en-US" w:eastAsia="zh-CN" w:bidi="ar"/>
        </w:rPr>
        <w:t xml:space="preserve">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1 </w:t>
      </w:r>
      <w:r>
        <w:rPr>
          <w:rFonts w:hint="eastAsia"/>
          <w:b/>
          <w:sz w:val="21"/>
          <w:szCs w:val="21"/>
          <w:lang w:val="en-US" w:eastAsia="zh-CN"/>
        </w:rPr>
        <w:t xml:space="preserve"> Rel-18 UEs supporting Cell DTX may not receive and/or process CSI-RS from gNB for RRM, RLM and beam failure detection during non-active periods of cell DTX</w:t>
      </w:r>
      <w:r>
        <w:rPr>
          <w:rFonts w:hint="default"/>
          <w:b/>
          <w:sz w:val="21"/>
          <w:szCs w:val="21"/>
          <w:lang w:val="en-US" w:eastAsia="zh-CN"/>
        </w:rPr>
        <w:t>.</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2</w:t>
      </w:r>
      <w:r>
        <w:rPr>
          <w:rFonts w:hint="default"/>
          <w:b/>
          <w:sz w:val="21"/>
          <w:szCs w:val="21"/>
          <w:lang w:val="en-US" w:eastAsia="zh-CN"/>
        </w:rPr>
        <w:t xml:space="preserve"> </w:t>
      </w:r>
      <w:r>
        <w:rPr>
          <w:rFonts w:hint="eastAsia"/>
          <w:b/>
          <w:sz w:val="21"/>
          <w:szCs w:val="21"/>
          <w:lang w:val="en-US" w:eastAsia="zh-CN"/>
        </w:rPr>
        <w:t xml:space="preserve"> </w:t>
      </w:r>
      <w:r>
        <w:rPr>
          <w:rFonts w:hint="default" w:cs="Times New Roman"/>
          <w:b/>
          <w:bCs w:val="0"/>
          <w:i w:val="0"/>
          <w:iCs w:val="0"/>
          <w:caps w:val="0"/>
          <w:spacing w:val="0"/>
          <w:sz w:val="21"/>
          <w:szCs w:val="21"/>
          <w:shd w:val="clear"/>
          <w:lang w:val="en-US" w:eastAsia="zh-CN"/>
        </w:rPr>
        <w:t>DCI format 2_6 or DCI format 2_7 should not be affected</w:t>
      </w:r>
      <w:r>
        <w:rPr>
          <w:rFonts w:hint="default"/>
          <w:b/>
          <w:sz w:val="21"/>
          <w:szCs w:val="21"/>
          <w:lang w:val="en-US" w:eastAsia="zh-CN"/>
        </w:rPr>
        <w:t xml:space="preserve"> during non-active periods of cell DTX/DRX.</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3</w:t>
      </w:r>
      <w:r>
        <w:rPr>
          <w:rFonts w:hint="default"/>
          <w:b/>
          <w:sz w:val="21"/>
          <w:szCs w:val="21"/>
          <w:lang w:val="en-US" w:eastAsia="zh-CN"/>
        </w:rPr>
        <w:t xml:space="preserve">  </w:t>
      </w:r>
      <w:r>
        <w:rPr>
          <w:rFonts w:hint="eastAsia"/>
          <w:b/>
          <w:sz w:val="21"/>
          <w:szCs w:val="21"/>
          <w:lang w:val="en-US" w:eastAsia="zh-CN"/>
        </w:rPr>
        <w:t>S</w:t>
      </w:r>
      <w:r>
        <w:rPr>
          <w:rFonts w:hint="default"/>
          <w:b/>
          <w:sz w:val="21"/>
          <w:szCs w:val="21"/>
          <w:lang w:val="en-US" w:eastAsia="zh-CN"/>
        </w:rPr>
        <w:t>ome constraints</w:t>
      </w:r>
      <w:r>
        <w:rPr>
          <w:rFonts w:hint="eastAsia"/>
          <w:b/>
          <w:sz w:val="21"/>
          <w:szCs w:val="21"/>
          <w:lang w:val="en-US" w:eastAsia="zh-CN"/>
        </w:rPr>
        <w:t xml:space="preserve"> on </w:t>
      </w:r>
      <w:r>
        <w:rPr>
          <w:rFonts w:hint="default"/>
          <w:b/>
          <w:bCs w:val="0"/>
          <w:sz w:val="21"/>
          <w:szCs w:val="21"/>
          <w:lang w:val="en-US" w:eastAsia="zh-CN"/>
        </w:rPr>
        <w:t>active/non-active time between cell DTX and cell DRX</w:t>
      </w:r>
      <w:r>
        <w:rPr>
          <w:rFonts w:hint="eastAsia"/>
          <w:b/>
          <w:sz w:val="21"/>
          <w:szCs w:val="21"/>
          <w:lang w:val="en-US" w:eastAsia="zh-CN"/>
        </w:rPr>
        <w:t xml:space="preserve"> should be discussed</w:t>
      </w:r>
      <w:r>
        <w:rPr>
          <w:rFonts w:hint="default"/>
          <w:b/>
          <w:sz w:val="21"/>
          <w:szCs w:val="21"/>
          <w:lang w:val="en-US" w:eastAsia="zh-CN"/>
        </w:rPr>
        <w:t>.</w:t>
      </w:r>
    </w:p>
    <w:p>
      <w:pPr>
        <w:snapToGrid/>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4</w:t>
      </w:r>
      <w:r>
        <w:rPr>
          <w:rFonts w:hint="default"/>
          <w:b/>
          <w:sz w:val="21"/>
          <w:szCs w:val="21"/>
          <w:lang w:val="en-US" w:eastAsia="zh-CN"/>
        </w:rPr>
        <w:t xml:space="preserve">  </w:t>
      </w:r>
      <w:r>
        <w:rPr>
          <w:rFonts w:hint="eastAsia"/>
          <w:b/>
          <w:sz w:val="21"/>
          <w:szCs w:val="21"/>
          <w:lang w:val="en-US" w:eastAsia="zh-CN"/>
        </w:rPr>
        <w:t>Configuring different cell DTX/DRX configurations for different power states should be supported.</w:t>
      </w:r>
    </w:p>
    <w:p>
      <w:pPr>
        <w:spacing w:before="60" w:beforeLines="0" w:after="60" w:afterLines="0" w:line="360" w:lineRule="auto"/>
        <w:jc w:val="both"/>
        <w:rPr>
          <w:rFonts w:hint="default"/>
          <w:b w:val="0"/>
          <w:bCs w:val="0"/>
          <w:lang w:val="en-US" w:eastAsia="zh-CN"/>
        </w:rPr>
      </w:pPr>
      <w:r>
        <w:rPr>
          <w:rFonts w:hint="default"/>
          <w:b/>
          <w:sz w:val="21"/>
          <w:szCs w:val="21"/>
          <w:lang w:val="en-US" w:eastAsia="zh-CN"/>
        </w:rPr>
        <w:t xml:space="preserve">Proposal </w:t>
      </w:r>
      <w:r>
        <w:rPr>
          <w:rFonts w:hint="eastAsia"/>
          <w:b/>
          <w:sz w:val="21"/>
          <w:szCs w:val="21"/>
          <w:lang w:val="en-US" w:eastAsia="zh-CN"/>
        </w:rPr>
        <w:t>5</w:t>
      </w:r>
      <w:r>
        <w:rPr>
          <w:rFonts w:hint="default"/>
          <w:b/>
          <w:sz w:val="21"/>
          <w:szCs w:val="21"/>
          <w:lang w:val="en-US" w:eastAsia="zh-CN"/>
        </w:rPr>
        <w:t xml:space="preserve">  New RNTI is used</w:t>
      </w:r>
      <w:r>
        <w:rPr>
          <w:rFonts w:hint="eastAsia"/>
          <w:b/>
          <w:sz w:val="21"/>
          <w:szCs w:val="21"/>
          <w:lang w:val="en-US" w:eastAsia="zh-CN"/>
        </w:rPr>
        <w:t xml:space="preserve"> for the new DCI format .</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6</w:t>
      </w:r>
      <w:r>
        <w:rPr>
          <w:rFonts w:hint="default"/>
          <w:b/>
          <w:sz w:val="21"/>
          <w:szCs w:val="21"/>
          <w:lang w:val="en-US" w:eastAsia="zh-CN"/>
        </w:rPr>
        <w:t xml:space="preserve">  How to align the DRX cycles or offsets for different UEs needs to be further studied.</w:t>
      </w:r>
    </w:p>
    <w:p>
      <w:pPr>
        <w:spacing w:before="60" w:beforeLines="0" w:after="60" w:afterLines="0" w:line="360" w:lineRule="auto"/>
        <w:jc w:val="both"/>
        <w:rPr>
          <w:rFonts w:hint="default"/>
          <w:b/>
          <w:sz w:val="21"/>
          <w:szCs w:val="21"/>
          <w:lang w:val="en-US" w:eastAsia="zh-CN"/>
        </w:rPr>
      </w:pPr>
      <w:r>
        <w:rPr>
          <w:rFonts w:hint="default"/>
          <w:b/>
          <w:sz w:val="21"/>
          <w:szCs w:val="21"/>
          <w:lang w:val="en-US" w:eastAsia="zh-CN"/>
        </w:rPr>
        <w:t xml:space="preserve">Proposal </w:t>
      </w:r>
      <w:r>
        <w:rPr>
          <w:rFonts w:hint="eastAsia"/>
          <w:b/>
          <w:sz w:val="21"/>
          <w:szCs w:val="21"/>
          <w:lang w:val="en-US" w:eastAsia="zh-CN"/>
        </w:rPr>
        <w:t>7</w:t>
      </w:r>
      <w:r>
        <w:rPr>
          <w:rFonts w:hint="default"/>
          <w:b/>
          <w:sz w:val="21"/>
          <w:szCs w:val="21"/>
          <w:lang w:val="en-US" w:eastAsia="zh-CN"/>
        </w:rPr>
        <w:t xml:space="preserve">  Align UE DRX with cell DTX and DRX between multiple UEs should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9"/>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“Draft Report of 3GPP TSG RAN WG1 #113 v0.1.0” , RAN1#11</w:t>
      </w:r>
      <w:r>
        <w:rPr>
          <w:rFonts w:hint="eastAsia" w:ascii="Times New Roman" w:hAnsi="Times New Roman" w:eastAsia="宋体"/>
          <w:sz w:val="20"/>
          <w:lang w:val="en-US" w:eastAsia="zh-CN"/>
        </w:rPr>
        <w:t>3</w:t>
      </w:r>
    </w:p>
    <w:p>
      <w:pPr>
        <w:pStyle w:val="23"/>
        <w:numPr>
          <w:ilvl w:val="0"/>
          <w:numId w:val="9"/>
        </w:numPr>
        <w:spacing w:before="0" w:line="360" w:lineRule="auto"/>
        <w:ind w:left="0" w:leftChars="0" w:firstLine="0"/>
        <w:jc w:val="both"/>
        <w:rPr>
          <w:rFonts w:hint="eastAsia" w:ascii="Times New Roman" w:hAnsi="Times New Roman" w:eastAsia="宋体"/>
          <w:lang w:val="en-US" w:eastAsia="zh-CN"/>
        </w:rPr>
      </w:pPr>
      <w:r>
        <w:rPr>
          <w:rFonts w:hint="default" w:ascii="Times New Roman" w:hAnsi="Times New Roman" w:eastAsia="宋体"/>
          <w:sz w:val="20"/>
          <w:lang w:val="en-US" w:eastAsia="zh-CN"/>
        </w:rPr>
        <w:t>RP-230566</w:t>
      </w:r>
      <w:r>
        <w:rPr>
          <w:rFonts w:hint="eastAsia" w:ascii="Times New Roman" w:hAnsi="Times New Roman" w:eastAsia="宋体"/>
          <w:sz w:val="20"/>
          <w:lang w:val="en-US" w:eastAsia="zh-CN"/>
        </w:rPr>
        <w:t>, WID revision: Network energy savings for NR, RAN#99</w:t>
      </w:r>
      <w:r>
        <w:rPr>
          <w:rFonts w:hint="eastAsia" w:ascii="Times New Roman" w:hAnsi="Times New Roman" w:eastAsia="宋体"/>
          <w:lang w:val="en-US" w:eastAsia="zh-CN"/>
        </w:rPr>
        <w:t>.</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CC9EC"/>
    <w:multiLevelType w:val="singleLevel"/>
    <w:tmpl w:val="89ACC9EC"/>
    <w:lvl w:ilvl="0" w:tentative="0">
      <w:start w:val="1"/>
      <w:numFmt w:val="decimal"/>
      <w:lvlText w:val="%1."/>
      <w:lvlJc w:val="left"/>
      <w:pPr>
        <w:ind w:left="425" w:hanging="425"/>
      </w:pPr>
      <w:rPr>
        <w:rFonts w:hint="default"/>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F194161"/>
    <w:multiLevelType w:val="multilevel"/>
    <w:tmpl w:val="1F19416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1978D9"/>
    <w:multiLevelType w:val="multilevel"/>
    <w:tmpl w:val="491978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3F5669"/>
    <w:multiLevelType w:val="multilevel"/>
    <w:tmpl w:val="5E3F56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EF01C5B"/>
    <w:multiLevelType w:val="multilevel"/>
    <w:tmpl w:val="7EF01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FBC14B5"/>
    <w:multiLevelType w:val="multilevel"/>
    <w:tmpl w:val="7FBC14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5"/>
  </w:num>
  <w:num w:numId="4">
    <w:abstractNumId w:val="6"/>
  </w:num>
  <w:num w:numId="5">
    <w:abstractNumId w:val="8"/>
  </w:num>
  <w:num w:numId="6">
    <w:abstractNumId w:val="7"/>
  </w:num>
  <w:num w:numId="7">
    <w:abstractNumId w:val="0"/>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3830"/>
    <w:rsid w:val="001D1DA1"/>
    <w:rsid w:val="004C43F2"/>
    <w:rsid w:val="009F3794"/>
    <w:rsid w:val="01806305"/>
    <w:rsid w:val="02366D2D"/>
    <w:rsid w:val="02821545"/>
    <w:rsid w:val="02BA26ED"/>
    <w:rsid w:val="03292219"/>
    <w:rsid w:val="03333EBB"/>
    <w:rsid w:val="039242F7"/>
    <w:rsid w:val="03A329A5"/>
    <w:rsid w:val="03B43171"/>
    <w:rsid w:val="03C91DEF"/>
    <w:rsid w:val="03DC6164"/>
    <w:rsid w:val="03F033B4"/>
    <w:rsid w:val="03F97C93"/>
    <w:rsid w:val="043D1681"/>
    <w:rsid w:val="0458352F"/>
    <w:rsid w:val="046105A7"/>
    <w:rsid w:val="04A64106"/>
    <w:rsid w:val="04AD75C9"/>
    <w:rsid w:val="04C5285F"/>
    <w:rsid w:val="04D35871"/>
    <w:rsid w:val="04DD3789"/>
    <w:rsid w:val="050B2FD3"/>
    <w:rsid w:val="05BE0571"/>
    <w:rsid w:val="05BF3D7B"/>
    <w:rsid w:val="062D641E"/>
    <w:rsid w:val="06467E10"/>
    <w:rsid w:val="06631006"/>
    <w:rsid w:val="068B669D"/>
    <w:rsid w:val="069C07C0"/>
    <w:rsid w:val="06B22BCB"/>
    <w:rsid w:val="06DB01C7"/>
    <w:rsid w:val="06FD7C23"/>
    <w:rsid w:val="07412138"/>
    <w:rsid w:val="075014AD"/>
    <w:rsid w:val="07541C13"/>
    <w:rsid w:val="0768081C"/>
    <w:rsid w:val="078B42EC"/>
    <w:rsid w:val="079743E7"/>
    <w:rsid w:val="07A03B2F"/>
    <w:rsid w:val="07E12465"/>
    <w:rsid w:val="07FE6829"/>
    <w:rsid w:val="081D0F97"/>
    <w:rsid w:val="08575FBE"/>
    <w:rsid w:val="08711159"/>
    <w:rsid w:val="08761095"/>
    <w:rsid w:val="09386CEF"/>
    <w:rsid w:val="09436EC0"/>
    <w:rsid w:val="095E2632"/>
    <w:rsid w:val="09735935"/>
    <w:rsid w:val="097B701A"/>
    <w:rsid w:val="09891C4A"/>
    <w:rsid w:val="09C11875"/>
    <w:rsid w:val="0A940E9D"/>
    <w:rsid w:val="0AB5350C"/>
    <w:rsid w:val="0AC53B39"/>
    <w:rsid w:val="0AC8754E"/>
    <w:rsid w:val="0AD04CB6"/>
    <w:rsid w:val="0B4F2D08"/>
    <w:rsid w:val="0B5645CC"/>
    <w:rsid w:val="0B5A0448"/>
    <w:rsid w:val="0B713C52"/>
    <w:rsid w:val="0B7E082A"/>
    <w:rsid w:val="0BAA50B0"/>
    <w:rsid w:val="0BC450BB"/>
    <w:rsid w:val="0BCA33E7"/>
    <w:rsid w:val="0C0D1FC9"/>
    <w:rsid w:val="0C4A71B8"/>
    <w:rsid w:val="0C6B3E4C"/>
    <w:rsid w:val="0C7A3E69"/>
    <w:rsid w:val="0C950531"/>
    <w:rsid w:val="0C9D33BF"/>
    <w:rsid w:val="0D650C0A"/>
    <w:rsid w:val="0D8008CF"/>
    <w:rsid w:val="0D9F3231"/>
    <w:rsid w:val="0DFE15A3"/>
    <w:rsid w:val="0E2C3933"/>
    <w:rsid w:val="0E4D44EF"/>
    <w:rsid w:val="0EC53BA2"/>
    <w:rsid w:val="0EF85813"/>
    <w:rsid w:val="0F0B0B79"/>
    <w:rsid w:val="0F524340"/>
    <w:rsid w:val="0FD746B6"/>
    <w:rsid w:val="0FD94151"/>
    <w:rsid w:val="0FEE6FAE"/>
    <w:rsid w:val="100D7EC6"/>
    <w:rsid w:val="10931CC7"/>
    <w:rsid w:val="10C87F96"/>
    <w:rsid w:val="10F51AD3"/>
    <w:rsid w:val="11026C66"/>
    <w:rsid w:val="11B25995"/>
    <w:rsid w:val="123D56D9"/>
    <w:rsid w:val="12960691"/>
    <w:rsid w:val="12F02DF4"/>
    <w:rsid w:val="13F554B1"/>
    <w:rsid w:val="14166484"/>
    <w:rsid w:val="14327D73"/>
    <w:rsid w:val="145C6F22"/>
    <w:rsid w:val="14AC682E"/>
    <w:rsid w:val="14C53B07"/>
    <w:rsid w:val="14D20DB6"/>
    <w:rsid w:val="14E21EB8"/>
    <w:rsid w:val="14F2746B"/>
    <w:rsid w:val="154F69E6"/>
    <w:rsid w:val="155B2107"/>
    <w:rsid w:val="15682461"/>
    <w:rsid w:val="15805F48"/>
    <w:rsid w:val="15AD3A82"/>
    <w:rsid w:val="15B81628"/>
    <w:rsid w:val="15CE7E95"/>
    <w:rsid w:val="15CF3257"/>
    <w:rsid w:val="15DD1D26"/>
    <w:rsid w:val="15E82AFC"/>
    <w:rsid w:val="16484BA2"/>
    <w:rsid w:val="16501227"/>
    <w:rsid w:val="16602BEE"/>
    <w:rsid w:val="167133BD"/>
    <w:rsid w:val="1683077C"/>
    <w:rsid w:val="16D621CD"/>
    <w:rsid w:val="172F7734"/>
    <w:rsid w:val="17326BFF"/>
    <w:rsid w:val="173340E6"/>
    <w:rsid w:val="17846D8A"/>
    <w:rsid w:val="17E3743F"/>
    <w:rsid w:val="17EF5450"/>
    <w:rsid w:val="1815568F"/>
    <w:rsid w:val="183D7BCD"/>
    <w:rsid w:val="183E7952"/>
    <w:rsid w:val="18B21AD6"/>
    <w:rsid w:val="18DF05DB"/>
    <w:rsid w:val="18EA08C6"/>
    <w:rsid w:val="190570D2"/>
    <w:rsid w:val="19286D8E"/>
    <w:rsid w:val="19B6063F"/>
    <w:rsid w:val="19F743DF"/>
    <w:rsid w:val="1A682661"/>
    <w:rsid w:val="1A942215"/>
    <w:rsid w:val="1AAD78D2"/>
    <w:rsid w:val="1AE945CD"/>
    <w:rsid w:val="1BD1495A"/>
    <w:rsid w:val="1BED197A"/>
    <w:rsid w:val="1C4A27F6"/>
    <w:rsid w:val="1C8D7DE8"/>
    <w:rsid w:val="1CBF6038"/>
    <w:rsid w:val="1CC713C0"/>
    <w:rsid w:val="1D176197"/>
    <w:rsid w:val="1D2F0B4E"/>
    <w:rsid w:val="1D3A2CBF"/>
    <w:rsid w:val="1D4E0DE6"/>
    <w:rsid w:val="1D5F3C1E"/>
    <w:rsid w:val="1D786CA0"/>
    <w:rsid w:val="1EEC4260"/>
    <w:rsid w:val="1F0868CC"/>
    <w:rsid w:val="1F1402D1"/>
    <w:rsid w:val="1F713F17"/>
    <w:rsid w:val="1FBF7ED9"/>
    <w:rsid w:val="20273EC1"/>
    <w:rsid w:val="20294D50"/>
    <w:rsid w:val="203E1579"/>
    <w:rsid w:val="20486C30"/>
    <w:rsid w:val="204A3DDB"/>
    <w:rsid w:val="204B0788"/>
    <w:rsid w:val="207C0B93"/>
    <w:rsid w:val="20C54B2E"/>
    <w:rsid w:val="20DC4847"/>
    <w:rsid w:val="20E02300"/>
    <w:rsid w:val="20F63118"/>
    <w:rsid w:val="2113389C"/>
    <w:rsid w:val="212A5BF7"/>
    <w:rsid w:val="21486D50"/>
    <w:rsid w:val="216F2E69"/>
    <w:rsid w:val="21A835A0"/>
    <w:rsid w:val="21C71C6C"/>
    <w:rsid w:val="21F51F69"/>
    <w:rsid w:val="224131C1"/>
    <w:rsid w:val="226804C4"/>
    <w:rsid w:val="22B456FE"/>
    <w:rsid w:val="22B54453"/>
    <w:rsid w:val="22D1722D"/>
    <w:rsid w:val="22EE7297"/>
    <w:rsid w:val="22FD69AE"/>
    <w:rsid w:val="230B5C6A"/>
    <w:rsid w:val="23307003"/>
    <w:rsid w:val="233B46DE"/>
    <w:rsid w:val="23543698"/>
    <w:rsid w:val="2378316C"/>
    <w:rsid w:val="23AB02F8"/>
    <w:rsid w:val="24222D39"/>
    <w:rsid w:val="24770AA7"/>
    <w:rsid w:val="249C66CB"/>
    <w:rsid w:val="2518335A"/>
    <w:rsid w:val="259F0F36"/>
    <w:rsid w:val="25BF7538"/>
    <w:rsid w:val="25E25F7B"/>
    <w:rsid w:val="25FA3B44"/>
    <w:rsid w:val="26014383"/>
    <w:rsid w:val="26025AC5"/>
    <w:rsid w:val="26054B71"/>
    <w:rsid w:val="260C7CEA"/>
    <w:rsid w:val="26102F02"/>
    <w:rsid w:val="26430191"/>
    <w:rsid w:val="265817DB"/>
    <w:rsid w:val="26685E4E"/>
    <w:rsid w:val="26710598"/>
    <w:rsid w:val="26854CAF"/>
    <w:rsid w:val="26D50A2C"/>
    <w:rsid w:val="26FF6F87"/>
    <w:rsid w:val="275F60A7"/>
    <w:rsid w:val="276D75BB"/>
    <w:rsid w:val="27CE415D"/>
    <w:rsid w:val="283F7913"/>
    <w:rsid w:val="284B3726"/>
    <w:rsid w:val="2874016E"/>
    <w:rsid w:val="28886E0E"/>
    <w:rsid w:val="28C65A54"/>
    <w:rsid w:val="29437541"/>
    <w:rsid w:val="29594B3A"/>
    <w:rsid w:val="29AA010A"/>
    <w:rsid w:val="29B461AC"/>
    <w:rsid w:val="29B816FE"/>
    <w:rsid w:val="29DF15BE"/>
    <w:rsid w:val="2A2158AB"/>
    <w:rsid w:val="2AEB718E"/>
    <w:rsid w:val="2B15743C"/>
    <w:rsid w:val="2B20324F"/>
    <w:rsid w:val="2C153FA1"/>
    <w:rsid w:val="2C1A370D"/>
    <w:rsid w:val="2C520FC6"/>
    <w:rsid w:val="2C9805ED"/>
    <w:rsid w:val="2CD5161C"/>
    <w:rsid w:val="2CF96358"/>
    <w:rsid w:val="2D312F7F"/>
    <w:rsid w:val="2D803397"/>
    <w:rsid w:val="2D855F3C"/>
    <w:rsid w:val="2E214FC5"/>
    <w:rsid w:val="2E2B3861"/>
    <w:rsid w:val="2E6220A7"/>
    <w:rsid w:val="2E8A57EA"/>
    <w:rsid w:val="2F0E473E"/>
    <w:rsid w:val="2F2509C8"/>
    <w:rsid w:val="2F3E6592"/>
    <w:rsid w:val="2FBF7DE5"/>
    <w:rsid w:val="2FC459F7"/>
    <w:rsid w:val="303F6316"/>
    <w:rsid w:val="305F3CA3"/>
    <w:rsid w:val="30A72E79"/>
    <w:rsid w:val="30B93D8E"/>
    <w:rsid w:val="30C920B8"/>
    <w:rsid w:val="31182819"/>
    <w:rsid w:val="315D7796"/>
    <w:rsid w:val="31696F75"/>
    <w:rsid w:val="32395E90"/>
    <w:rsid w:val="323B6E74"/>
    <w:rsid w:val="327F31BE"/>
    <w:rsid w:val="329A7A4B"/>
    <w:rsid w:val="3300373A"/>
    <w:rsid w:val="33020E3C"/>
    <w:rsid w:val="334B2535"/>
    <w:rsid w:val="33D577B5"/>
    <w:rsid w:val="33E538F6"/>
    <w:rsid w:val="346E7194"/>
    <w:rsid w:val="34712317"/>
    <w:rsid w:val="34E31351"/>
    <w:rsid w:val="35414F6E"/>
    <w:rsid w:val="354C3954"/>
    <w:rsid w:val="355F746B"/>
    <w:rsid w:val="35987B7B"/>
    <w:rsid w:val="35B567A6"/>
    <w:rsid w:val="35B873B1"/>
    <w:rsid w:val="3618394C"/>
    <w:rsid w:val="364C2EB6"/>
    <w:rsid w:val="3660047D"/>
    <w:rsid w:val="36665823"/>
    <w:rsid w:val="36852913"/>
    <w:rsid w:val="36AB17B2"/>
    <w:rsid w:val="36B315CD"/>
    <w:rsid w:val="36C55FD9"/>
    <w:rsid w:val="36F210B1"/>
    <w:rsid w:val="36F90A3C"/>
    <w:rsid w:val="37467121"/>
    <w:rsid w:val="37A2030E"/>
    <w:rsid w:val="37AF0A7B"/>
    <w:rsid w:val="384C41C1"/>
    <w:rsid w:val="38622202"/>
    <w:rsid w:val="386E58B4"/>
    <w:rsid w:val="38CB386D"/>
    <w:rsid w:val="38D146E8"/>
    <w:rsid w:val="38E11BE1"/>
    <w:rsid w:val="38ED1AB0"/>
    <w:rsid w:val="39003390"/>
    <w:rsid w:val="39456083"/>
    <w:rsid w:val="39664B4C"/>
    <w:rsid w:val="396A4FBD"/>
    <w:rsid w:val="39A07E84"/>
    <w:rsid w:val="39BC1544"/>
    <w:rsid w:val="39C51E54"/>
    <w:rsid w:val="39ED44B5"/>
    <w:rsid w:val="3A0045B7"/>
    <w:rsid w:val="3A2071A2"/>
    <w:rsid w:val="3A223AAA"/>
    <w:rsid w:val="3A5F5DCE"/>
    <w:rsid w:val="3AD20669"/>
    <w:rsid w:val="3B006358"/>
    <w:rsid w:val="3B1508C2"/>
    <w:rsid w:val="3B296135"/>
    <w:rsid w:val="3B702D5E"/>
    <w:rsid w:val="3BAA0D70"/>
    <w:rsid w:val="3BDF573E"/>
    <w:rsid w:val="3BFB1D34"/>
    <w:rsid w:val="3C7826C2"/>
    <w:rsid w:val="3CBF66BA"/>
    <w:rsid w:val="3D0422A6"/>
    <w:rsid w:val="3D045D81"/>
    <w:rsid w:val="3D0955CD"/>
    <w:rsid w:val="3D320BF7"/>
    <w:rsid w:val="3D646E47"/>
    <w:rsid w:val="3DC271E1"/>
    <w:rsid w:val="3DD3111B"/>
    <w:rsid w:val="3E080E81"/>
    <w:rsid w:val="3E5F4689"/>
    <w:rsid w:val="3E674F1B"/>
    <w:rsid w:val="3F1F4F1F"/>
    <w:rsid w:val="3F575962"/>
    <w:rsid w:val="3FC12F51"/>
    <w:rsid w:val="3FE35B2E"/>
    <w:rsid w:val="40107D2A"/>
    <w:rsid w:val="4063384D"/>
    <w:rsid w:val="409B660A"/>
    <w:rsid w:val="409D5390"/>
    <w:rsid w:val="40A53650"/>
    <w:rsid w:val="40C06849"/>
    <w:rsid w:val="40EA5638"/>
    <w:rsid w:val="412D71FD"/>
    <w:rsid w:val="41600151"/>
    <w:rsid w:val="41603818"/>
    <w:rsid w:val="41B53228"/>
    <w:rsid w:val="420D0A6A"/>
    <w:rsid w:val="424452F4"/>
    <w:rsid w:val="42480626"/>
    <w:rsid w:val="42A81EAB"/>
    <w:rsid w:val="430A058D"/>
    <w:rsid w:val="43120317"/>
    <w:rsid w:val="43346B04"/>
    <w:rsid w:val="433F20E0"/>
    <w:rsid w:val="435D1690"/>
    <w:rsid w:val="43993D8E"/>
    <w:rsid w:val="43E56B7B"/>
    <w:rsid w:val="43F5638C"/>
    <w:rsid w:val="441E7550"/>
    <w:rsid w:val="4420454F"/>
    <w:rsid w:val="442339D8"/>
    <w:rsid w:val="4428205E"/>
    <w:rsid w:val="449700C1"/>
    <w:rsid w:val="449C033E"/>
    <w:rsid w:val="44DF4AD3"/>
    <w:rsid w:val="453F702F"/>
    <w:rsid w:val="45806EC3"/>
    <w:rsid w:val="458A5B63"/>
    <w:rsid w:val="45AA4758"/>
    <w:rsid w:val="46506A61"/>
    <w:rsid w:val="46554BF1"/>
    <w:rsid w:val="465D5881"/>
    <w:rsid w:val="465E3302"/>
    <w:rsid w:val="46686C9E"/>
    <w:rsid w:val="46936C54"/>
    <w:rsid w:val="46CF48BB"/>
    <w:rsid w:val="46E01544"/>
    <w:rsid w:val="47341CB9"/>
    <w:rsid w:val="476C4C8D"/>
    <w:rsid w:val="478F75F0"/>
    <w:rsid w:val="47CA5A26"/>
    <w:rsid w:val="48443B57"/>
    <w:rsid w:val="488E5A9B"/>
    <w:rsid w:val="48AF1F07"/>
    <w:rsid w:val="48B225B7"/>
    <w:rsid w:val="48B64E60"/>
    <w:rsid w:val="48F12CEE"/>
    <w:rsid w:val="4938000E"/>
    <w:rsid w:val="498558F4"/>
    <w:rsid w:val="49A87567"/>
    <w:rsid w:val="49D135E4"/>
    <w:rsid w:val="49EE4A2A"/>
    <w:rsid w:val="4A0A0505"/>
    <w:rsid w:val="4A523E05"/>
    <w:rsid w:val="4A6F7A71"/>
    <w:rsid w:val="4ACD31BD"/>
    <w:rsid w:val="4B3C4C5E"/>
    <w:rsid w:val="4B453C14"/>
    <w:rsid w:val="4BB46FD1"/>
    <w:rsid w:val="4BFF2F3E"/>
    <w:rsid w:val="4C4A42B7"/>
    <w:rsid w:val="4CB65B8D"/>
    <w:rsid w:val="4CD94E20"/>
    <w:rsid w:val="4D121D34"/>
    <w:rsid w:val="4D545FEE"/>
    <w:rsid w:val="4D7A3398"/>
    <w:rsid w:val="4DC3281F"/>
    <w:rsid w:val="4DFF0486"/>
    <w:rsid w:val="4E2528C4"/>
    <w:rsid w:val="4E264AC2"/>
    <w:rsid w:val="4E897B66"/>
    <w:rsid w:val="4EB3122E"/>
    <w:rsid w:val="4EE53BFB"/>
    <w:rsid w:val="4EEF51A5"/>
    <w:rsid w:val="4EF33F37"/>
    <w:rsid w:val="4F1254C3"/>
    <w:rsid w:val="4F29663B"/>
    <w:rsid w:val="4F2F631B"/>
    <w:rsid w:val="4F3C0010"/>
    <w:rsid w:val="4F4A0C44"/>
    <w:rsid w:val="4F687927"/>
    <w:rsid w:val="4F706F0D"/>
    <w:rsid w:val="4FE60326"/>
    <w:rsid w:val="4FF166B7"/>
    <w:rsid w:val="50252009"/>
    <w:rsid w:val="502E071A"/>
    <w:rsid w:val="508D0734"/>
    <w:rsid w:val="508F4388"/>
    <w:rsid w:val="50CE6F9F"/>
    <w:rsid w:val="51537257"/>
    <w:rsid w:val="5165582B"/>
    <w:rsid w:val="517D50F1"/>
    <w:rsid w:val="51D51D50"/>
    <w:rsid w:val="524F1A19"/>
    <w:rsid w:val="525E29B5"/>
    <w:rsid w:val="526E0C49"/>
    <w:rsid w:val="528A181C"/>
    <w:rsid w:val="52AD5DA5"/>
    <w:rsid w:val="52B3173E"/>
    <w:rsid w:val="52DB76C2"/>
    <w:rsid w:val="52FF50A3"/>
    <w:rsid w:val="531E1B16"/>
    <w:rsid w:val="53284056"/>
    <w:rsid w:val="535B4223"/>
    <w:rsid w:val="5370034A"/>
    <w:rsid w:val="53D75E20"/>
    <w:rsid w:val="53FB108F"/>
    <w:rsid w:val="544A7794"/>
    <w:rsid w:val="544F0576"/>
    <w:rsid w:val="547748A2"/>
    <w:rsid w:val="54C35107"/>
    <w:rsid w:val="553C3366"/>
    <w:rsid w:val="553F7285"/>
    <w:rsid w:val="559B138A"/>
    <w:rsid w:val="560A4E69"/>
    <w:rsid w:val="56132672"/>
    <w:rsid w:val="56B62BD2"/>
    <w:rsid w:val="56E865F9"/>
    <w:rsid w:val="575514CD"/>
    <w:rsid w:val="57577640"/>
    <w:rsid w:val="57B35F6D"/>
    <w:rsid w:val="57F21DC7"/>
    <w:rsid w:val="58036524"/>
    <w:rsid w:val="584717CF"/>
    <w:rsid w:val="584D616C"/>
    <w:rsid w:val="586E14BF"/>
    <w:rsid w:val="589775E6"/>
    <w:rsid w:val="58AD7D6B"/>
    <w:rsid w:val="595B14B9"/>
    <w:rsid w:val="59C21551"/>
    <w:rsid w:val="5A02233A"/>
    <w:rsid w:val="5A320356"/>
    <w:rsid w:val="5A5F6BCF"/>
    <w:rsid w:val="5ABC3E58"/>
    <w:rsid w:val="5AC70DFE"/>
    <w:rsid w:val="5AD33355"/>
    <w:rsid w:val="5AE625AD"/>
    <w:rsid w:val="5B1A2E07"/>
    <w:rsid w:val="5B792E47"/>
    <w:rsid w:val="5BDA4BBF"/>
    <w:rsid w:val="5BE715DE"/>
    <w:rsid w:val="5C1839E9"/>
    <w:rsid w:val="5CE31FB3"/>
    <w:rsid w:val="5D3A20B9"/>
    <w:rsid w:val="5D702D81"/>
    <w:rsid w:val="5D923D8D"/>
    <w:rsid w:val="5D9E4D24"/>
    <w:rsid w:val="5DB217C6"/>
    <w:rsid w:val="5DD97608"/>
    <w:rsid w:val="5E5830B6"/>
    <w:rsid w:val="5E9807BF"/>
    <w:rsid w:val="5ECA6000"/>
    <w:rsid w:val="5EE15B23"/>
    <w:rsid w:val="5F8D2114"/>
    <w:rsid w:val="5F946831"/>
    <w:rsid w:val="5FA34174"/>
    <w:rsid w:val="5FD22AC5"/>
    <w:rsid w:val="606737AA"/>
    <w:rsid w:val="61161572"/>
    <w:rsid w:val="61A907DA"/>
    <w:rsid w:val="61BE4069"/>
    <w:rsid w:val="61C52EF5"/>
    <w:rsid w:val="61CB5D59"/>
    <w:rsid w:val="62550747"/>
    <w:rsid w:val="625957CD"/>
    <w:rsid w:val="626671FB"/>
    <w:rsid w:val="62BB2188"/>
    <w:rsid w:val="62C87348"/>
    <w:rsid w:val="62EF34B9"/>
    <w:rsid w:val="62FF1157"/>
    <w:rsid w:val="631D47AB"/>
    <w:rsid w:val="631F1A9A"/>
    <w:rsid w:val="632366B5"/>
    <w:rsid w:val="63562CB6"/>
    <w:rsid w:val="63852ED6"/>
    <w:rsid w:val="63E31B13"/>
    <w:rsid w:val="644C405D"/>
    <w:rsid w:val="6464757D"/>
    <w:rsid w:val="658713A2"/>
    <w:rsid w:val="65AF1261"/>
    <w:rsid w:val="65B87C60"/>
    <w:rsid w:val="65CC54F7"/>
    <w:rsid w:val="65DA25C0"/>
    <w:rsid w:val="663549B3"/>
    <w:rsid w:val="66651C8A"/>
    <w:rsid w:val="66B56591"/>
    <w:rsid w:val="67141E2D"/>
    <w:rsid w:val="68012776"/>
    <w:rsid w:val="681E1745"/>
    <w:rsid w:val="68313733"/>
    <w:rsid w:val="68334803"/>
    <w:rsid w:val="688B4E92"/>
    <w:rsid w:val="691D7C84"/>
    <w:rsid w:val="699A657E"/>
    <w:rsid w:val="69CE2026"/>
    <w:rsid w:val="6A03709F"/>
    <w:rsid w:val="6AA10A5E"/>
    <w:rsid w:val="6AAD28D9"/>
    <w:rsid w:val="6AAF4B97"/>
    <w:rsid w:val="6AD61BC4"/>
    <w:rsid w:val="6B2028CD"/>
    <w:rsid w:val="6B20701A"/>
    <w:rsid w:val="6B28732C"/>
    <w:rsid w:val="6B92518A"/>
    <w:rsid w:val="6C0E3894"/>
    <w:rsid w:val="6C397FC7"/>
    <w:rsid w:val="6C805BAD"/>
    <w:rsid w:val="6CCE4B92"/>
    <w:rsid w:val="6CD81C1E"/>
    <w:rsid w:val="6CD9769F"/>
    <w:rsid w:val="6CE978CE"/>
    <w:rsid w:val="6D561817"/>
    <w:rsid w:val="6D594918"/>
    <w:rsid w:val="6D640908"/>
    <w:rsid w:val="6D7C5FAF"/>
    <w:rsid w:val="6DA24B6A"/>
    <w:rsid w:val="6DA51372"/>
    <w:rsid w:val="6DF410F1"/>
    <w:rsid w:val="6E7716CA"/>
    <w:rsid w:val="6E8C0BE2"/>
    <w:rsid w:val="6EB26818"/>
    <w:rsid w:val="6EB73A9A"/>
    <w:rsid w:val="6EDA6A7D"/>
    <w:rsid w:val="6EDB6D1C"/>
    <w:rsid w:val="6F165D50"/>
    <w:rsid w:val="6F2B6BEF"/>
    <w:rsid w:val="70D04FAA"/>
    <w:rsid w:val="71085217"/>
    <w:rsid w:val="712C7C8C"/>
    <w:rsid w:val="7146734E"/>
    <w:rsid w:val="71487ACE"/>
    <w:rsid w:val="717A7739"/>
    <w:rsid w:val="71893698"/>
    <w:rsid w:val="71FA6D8D"/>
    <w:rsid w:val="726E34C9"/>
    <w:rsid w:val="72B85B6B"/>
    <w:rsid w:val="73CC6C88"/>
    <w:rsid w:val="73E0372B"/>
    <w:rsid w:val="742A7022"/>
    <w:rsid w:val="745F6C7C"/>
    <w:rsid w:val="74A55024"/>
    <w:rsid w:val="750072B4"/>
    <w:rsid w:val="75614B20"/>
    <w:rsid w:val="75653882"/>
    <w:rsid w:val="76732C9D"/>
    <w:rsid w:val="769F2D64"/>
    <w:rsid w:val="76D44A02"/>
    <w:rsid w:val="7732281D"/>
    <w:rsid w:val="773B78A9"/>
    <w:rsid w:val="77421C0D"/>
    <w:rsid w:val="77687474"/>
    <w:rsid w:val="778F795D"/>
    <w:rsid w:val="7805161F"/>
    <w:rsid w:val="78956BE1"/>
    <w:rsid w:val="78D366C6"/>
    <w:rsid w:val="78F21981"/>
    <w:rsid w:val="78FC310E"/>
    <w:rsid w:val="798B53DB"/>
    <w:rsid w:val="799D7414"/>
    <w:rsid w:val="79AF2C8A"/>
    <w:rsid w:val="79C23DD0"/>
    <w:rsid w:val="79E6728C"/>
    <w:rsid w:val="7A38265B"/>
    <w:rsid w:val="7A442306"/>
    <w:rsid w:val="7A905722"/>
    <w:rsid w:val="7AF741CD"/>
    <w:rsid w:val="7B1072F5"/>
    <w:rsid w:val="7B1511FF"/>
    <w:rsid w:val="7B2D68A5"/>
    <w:rsid w:val="7B315C9C"/>
    <w:rsid w:val="7B585E3C"/>
    <w:rsid w:val="7B7E06C4"/>
    <w:rsid w:val="7BC703CB"/>
    <w:rsid w:val="7BFC5DC1"/>
    <w:rsid w:val="7C140848"/>
    <w:rsid w:val="7C2524E2"/>
    <w:rsid w:val="7C2800AB"/>
    <w:rsid w:val="7C585A30"/>
    <w:rsid w:val="7C7E29CD"/>
    <w:rsid w:val="7C815CBD"/>
    <w:rsid w:val="7C9877BF"/>
    <w:rsid w:val="7CF54A57"/>
    <w:rsid w:val="7D4B0422"/>
    <w:rsid w:val="7D4F649D"/>
    <w:rsid w:val="7D564C1D"/>
    <w:rsid w:val="7D79534D"/>
    <w:rsid w:val="7DC616C1"/>
    <w:rsid w:val="7E582255"/>
    <w:rsid w:val="7E6F1CAB"/>
    <w:rsid w:val="7E971369"/>
    <w:rsid w:val="7EB64697"/>
    <w:rsid w:val="7EBA0FF5"/>
    <w:rsid w:val="7EBB22FA"/>
    <w:rsid w:val="7ED17DA8"/>
    <w:rsid w:val="7F151C89"/>
    <w:rsid w:val="7FB9221D"/>
    <w:rsid w:val="7FF32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References"/>
    <w:basedOn w:val="1"/>
    <w:qFormat/>
    <w:uiPriority w:val="0"/>
    <w:pPr>
      <w:numPr>
        <w:ilvl w:val="0"/>
        <w:numId w:val="2"/>
      </w:numPr>
      <w:spacing w:after="60"/>
    </w:pPr>
    <w:rPr>
      <w:szCs w:val="16"/>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6">
    <w:name w:val="0 Main text"/>
    <w:basedOn w:val="1"/>
    <w:qFormat/>
    <w:uiPriority w:val="0"/>
    <w:pPr>
      <w:spacing w:after="100" w:afterAutospacing="1" w:line="288" w:lineRule="auto"/>
      <w:ind w:firstLine="360"/>
      <w:jc w:val="both"/>
    </w:pPr>
    <w:rPr>
      <w:rFonts w:eastAsia="Times New Roman" w:cs="Batang"/>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7</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2023-08-10T11:18:40Z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